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 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FORM 10-Q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120"/>
        <w:jc w:val="center"/>
        <w:rPr/>
      </w:pPr>
      <w:r>
        <w:rPr>
          <w:rFonts w:ascii="Times New Roman;serif" w:hAnsi="Times New Roman;serif"/>
          <w:b/>
          <w:color w:val="000000"/>
          <w:sz w:val="18"/>
        </w:rPr>
        <w:t xml:space="preserve">For the quarterly period ended </w:t>
      </w:r>
      <w:r>
        <w:rPr>
          <w:rFonts w:ascii="Times New Roman;serif" w:hAnsi="Times New Roman;serif"/>
          <w:b/>
          <w:color w:val="000000"/>
          <w:sz w:val="20"/>
        </w:rPr>
        <w:t>September 30, 2025</w:t>
      </w:r>
      <w:r>
        <w:rPr>
          <w:color w:val="000000"/>
        </w:rPr>
        <w:t xml:space="preserve">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For the transition period from _________ to _________</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 xml:space="preserve">Commission File No. 001-42668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Kestrel Group Ltd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4379" w:type="dxa"/>
        <w:jc w:val="center"/>
        <w:tblInd w:w="0" w:type="dxa"/>
        <w:tblLayout w:type="fixed"/>
        <w:tblCellMar>
          <w:top w:w="28" w:type="dxa"/>
          <w:left w:w="28" w:type="dxa"/>
          <w:bottom w:w="28" w:type="dxa"/>
          <w:right w:w="28" w:type="dxa"/>
        </w:tblCellMar>
      </w:tblPr>
      <w:tblGrid>
        <w:gridCol w:w="1056"/>
        <w:gridCol w:w="930"/>
        <w:gridCol w:w="938"/>
        <w:gridCol w:w="424"/>
        <w:gridCol w:w="424"/>
        <w:gridCol w:w="607"/>
      </w:tblGrid>
      <w:tr>
        <w:trPr/>
        <w:tc>
          <w:tcPr>
            <w:tcW w:w="105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Bermuda</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98-1833921</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11 Bermudiana Road, Suite 1141</w:t>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Hamilton</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Bermuda</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HM 08</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before="100" w:after="1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(441) 298-4900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includingr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pPr>
      <w:r>
        <w:rPr>
          <w:rFonts w:ascii="Times New Roman;serif" w:hAnsi="Times New Roman;serif"/>
          <w:b w:val="false"/>
          <w:color w:val="000000"/>
          <w:sz w:val="18"/>
        </w:rPr>
        <w:t>Securities registered pursuant to Section 12(b) of the Act:</w:t>
      </w:r>
      <w:r>
        <w:rPr>
          <w:color w:val="000000"/>
        </w:rPr>
        <w:t xml:space="preserve"> </w:t>
      </w:r>
    </w:p>
    <w:tbl>
      <w:tblPr>
        <w:tblW w:w="8752" w:type="dxa"/>
        <w:jc w:val="center"/>
        <w:tblInd w:w="0" w:type="dxa"/>
        <w:tblLayout w:type="fixed"/>
        <w:tblCellMar>
          <w:top w:w="28" w:type="dxa"/>
          <w:left w:w="28" w:type="dxa"/>
          <w:bottom w:w="28" w:type="dxa"/>
          <w:right w:w="28" w:type="dxa"/>
        </w:tblCellMar>
      </w:tblPr>
      <w:tblGrid>
        <w:gridCol w:w="1147"/>
        <w:gridCol w:w="1013"/>
        <w:gridCol w:w="1019"/>
        <w:gridCol w:w="109"/>
        <w:gridCol w:w="109"/>
        <w:gridCol w:w="109"/>
        <w:gridCol w:w="484"/>
        <w:gridCol w:w="484"/>
        <w:gridCol w:w="486"/>
        <w:gridCol w:w="109"/>
        <w:gridCol w:w="109"/>
        <w:gridCol w:w="109"/>
        <w:gridCol w:w="1014"/>
        <w:gridCol w:w="1014"/>
        <w:gridCol w:w="1437"/>
      </w:tblGrid>
      <w:tr>
        <w:trPr/>
        <w:tc>
          <w:tcPr>
            <w:tcW w:w="114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NASDAQ Capital Market</w:t>
            </w:r>
          </w:p>
        </w:tc>
      </w:tr>
    </w:tbl>
    <w:p>
      <w:pPr>
        <w:pStyle w:val="TextBody"/>
        <w:bidi w:val="0"/>
        <w:spacing w:lineRule="auto" w:line="288" w:before="0" w:after="12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120"/>
        <w:jc w:val="both"/>
        <w:rPr/>
      </w:pPr>
      <w:r>
        <w:rPr>
          <w:rFonts w:ascii="Times New Roman;serif" w:hAnsi="Times New Roman;serif"/>
          <w:b w:val="false"/>
          <w:color w:val="000000"/>
          <w:sz w:val="18"/>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31"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2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shell company (as defined in Rule 12b-2 of the Securities Exchange Act). </w:t>
      </w:r>
    </w:p>
    <w:p>
      <w:pPr>
        <w:pStyle w:val="TextBody"/>
        <w:bidi w:val="0"/>
        <w:spacing w:lineRule="auto" w:line="288" w:before="0" w:after="120"/>
        <w:jc w:val="both"/>
        <w:rPr/>
      </w:pP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As of November 3, 2025, 7,741,943 common shares were outstanding. 9,979,477 common shares, par value $0.01 per share, were outstanding when the ownership by our affiliate Maiden Reinsurance Ltd. of 2,237,534 common shares were included. These affiliated shares are treated as treasury shares and are not included in the computation of consolidated book value and earnings per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408"/>
        <w:gridCol w:w="358"/>
        <w:gridCol w:w="358"/>
        <w:gridCol w:w="2942"/>
        <w:gridCol w:w="2809"/>
        <w:gridCol w:w="2755"/>
        <w:gridCol w:w="167"/>
        <w:gridCol w:w="167"/>
        <w:gridCol w:w="241"/>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809"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850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850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850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850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0" w:type="dxa"/>
            <w:gridSpan w:val="6"/>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tc>
        <w:tc>
          <w:tcPr>
            <w:tcW w:w="575"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308df02e2740c8b30b5fcca5d7dd12_10">
              <w:r>
                <w:rPr>
                  <w:rStyle w:val="InternetLink"/>
                  <w:rFonts w:ascii="Times New Roman;serif" w:hAnsi="Times New Roman;serif"/>
                  <w:b w:val="false"/>
                  <w:color w:val="000000"/>
                  <w:sz w:val="20"/>
                  <w:u w:val="single"/>
                </w:rPr>
                <w:t>Item 1.</w:t>
              </w:r>
            </w:hyperlink>
          </w:p>
        </w:tc>
        <w:tc>
          <w:tcPr>
            <w:tcW w:w="8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308df02e2740c8b30b5fcca5d7dd12_10">
              <w:r>
                <w:rPr>
                  <w:rStyle w:val="InternetLink"/>
                  <w:rFonts w:ascii="Times New Roman;serif" w:hAnsi="Times New Roman;serif"/>
                  <w:b w:val="false"/>
                  <w:color w:val="0000FF"/>
                  <w:sz w:val="20"/>
                  <w:u w:val="single"/>
                </w:rPr>
                <w:t>Financial Statements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3e308df02e2740c8b30b5fcca5d7dd12_13">
              <w:r>
                <w:rPr>
                  <w:rStyle w:val="InternetLink"/>
                  <w:rFonts w:ascii="Times New Roman;serif" w:hAnsi="Times New Roman;serif"/>
                  <w:b w:val="false"/>
                  <w:color w:val="0000FF"/>
                  <w:sz w:val="20"/>
                  <w:u w:val="single"/>
                </w:rPr>
                <w:t>Condensed Consolidated Balance Sheets as of September 30, 2025 (unaudited) and December 31, 2024 (audited)</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e308df02e2740c8b30b5fcca5d7dd12_13">
              <w:r>
                <w:rPr>
                  <w:rStyle w:val="InternetLink"/>
                  <w:rFonts w:ascii="Times New Roman;serif" w:hAnsi="Times New Roman;serif"/>
                  <w:b w:val="false"/>
                  <w:color w:val="0000FF"/>
                  <w:sz w:val="20"/>
                  <w:u w:val="single"/>
                </w:rPr>
                <w:t>3</w:t>
              </w:r>
            </w:hyperlink>
          </w:p>
        </w:tc>
      </w:tr>
      <w:tr>
        <w:trPr/>
        <w:tc>
          <w:tcPr>
            <w:tcW w:w="112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3e308df02e2740c8b30b5fcca5d7dd12_16">
              <w:r>
                <w:rPr>
                  <w:rStyle w:val="InternetLink"/>
                  <w:rFonts w:ascii="Times New Roman;serif" w:hAnsi="Times New Roman;serif"/>
                  <w:b w:val="false"/>
                  <w:color w:val="0000FF"/>
                  <w:sz w:val="20"/>
                  <w:u w:val="single"/>
                </w:rPr>
                <w:t>Condensed Consolidated Statements of Income for the Three and Nine Months Ended September 30, 2025 and 2024 (unaudited)</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e308df02e2740c8b30b5fcca5d7dd12_16">
              <w:r>
                <w:rPr>
                  <w:rStyle w:val="InternetLink"/>
                  <w:rFonts w:ascii="Times New Roman;serif" w:hAnsi="Times New Roman;serif"/>
                  <w:b w:val="false"/>
                  <w:color w:val="0000FF"/>
                  <w:sz w:val="20"/>
                  <w:u w:val="single"/>
                </w:rPr>
                <w:t>4</w:t>
              </w:r>
            </w:hyperlink>
          </w:p>
        </w:tc>
      </w:tr>
      <w:tr>
        <w:trPr/>
        <w:tc>
          <w:tcPr>
            <w:tcW w:w="112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3e308df02e2740c8b30b5fcca5d7dd12_19">
              <w:r>
                <w:rPr>
                  <w:rStyle w:val="InternetLink"/>
                  <w:rFonts w:ascii="Times New Roman;serif" w:hAnsi="Times New Roman;serif"/>
                  <w:b w:val="false"/>
                  <w:color w:val="0000FF"/>
                  <w:sz w:val="20"/>
                  <w:u w:val="single"/>
                </w:rPr>
                <w:t>Condensed Consolidated Statements of Comprehensive Income for the Three and Nine Months Ended September 30, 2025 and 2024 (unaudited)</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e308df02e2740c8b30b5fcca5d7dd12_19">
              <w:r>
                <w:rPr>
                  <w:rStyle w:val="InternetLink"/>
                  <w:rFonts w:ascii="Times New Roman;serif" w:hAnsi="Times New Roman;serif"/>
                  <w:b w:val="false"/>
                  <w:color w:val="0000FF"/>
                  <w:sz w:val="20"/>
                  <w:u w:val="single"/>
                </w:rPr>
                <w:t>5</w:t>
              </w:r>
            </w:hyperlink>
          </w:p>
        </w:tc>
      </w:tr>
      <w:tr>
        <w:trPr/>
        <w:tc>
          <w:tcPr>
            <w:tcW w:w="112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3e308df02e2740c8b30b5fcca5d7dd12_22">
              <w:r>
                <w:rPr>
                  <w:rStyle w:val="InternetLink"/>
                  <w:rFonts w:ascii="Times New Roman;serif" w:hAnsi="Times New Roman;serif"/>
                  <w:b w:val="false"/>
                  <w:color w:val="0000FF"/>
                  <w:sz w:val="20"/>
                  <w:u w:val="single"/>
                </w:rPr>
                <w:t>Condensed Consolidated Statements of Changes in Shareholders' Equity for the Three and Nine Months Ended September 30, 2025 and 2024 (unaudited)</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e308df02e2740c8b30b5fcca5d7dd12_22">
              <w:r>
                <w:rPr>
                  <w:rStyle w:val="InternetLink"/>
                  <w:rFonts w:ascii="Times New Roman;serif" w:hAnsi="Times New Roman;serif"/>
                  <w:b w:val="false"/>
                  <w:color w:val="0000FF"/>
                  <w:sz w:val="20"/>
                  <w:u w:val="single"/>
                </w:rPr>
                <w:t>6</w:t>
              </w:r>
            </w:hyperlink>
          </w:p>
        </w:tc>
      </w:tr>
      <w:tr>
        <w:trPr/>
        <w:tc>
          <w:tcPr>
            <w:tcW w:w="112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3e308df02e2740c8b30b5fcca5d7dd12_25">
              <w:r>
                <w:rPr>
                  <w:rStyle w:val="InternetLink"/>
                  <w:rFonts w:ascii="Times New Roman;serif" w:hAnsi="Times New Roman;serif"/>
                  <w:b w:val="false"/>
                  <w:color w:val="0000FF"/>
                  <w:sz w:val="20"/>
                  <w:u w:val="single"/>
                </w:rPr>
                <w:t>Condensed Consolidated Statements of Cash Flows for the Nine Months Ended September 30, 2025 and 2024 (unaudited)</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e308df02e2740c8b30b5fcca5d7dd12_25">
              <w:r>
                <w:rPr>
                  <w:rStyle w:val="InternetLink"/>
                  <w:rFonts w:ascii="Times New Roman;serif" w:hAnsi="Times New Roman;serif"/>
                  <w:b w:val="false"/>
                  <w:color w:val="0000FF"/>
                  <w:sz w:val="20"/>
                  <w:u w:val="single"/>
                </w:rPr>
                <w:t>7</w:t>
              </w:r>
            </w:hyperlink>
          </w:p>
        </w:tc>
      </w:tr>
      <w:tr>
        <w:trPr/>
        <w:tc>
          <w:tcPr>
            <w:tcW w:w="112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308df02e2740c8b30b5fcca5d7dd12_28">
              <w:r>
                <w:rPr>
                  <w:rStyle w:val="InternetLink"/>
                  <w:rFonts w:ascii="Times New Roman;serif" w:hAnsi="Times New Roman;serif"/>
                  <w:b w:val="false"/>
                  <w:color w:val="0000FF"/>
                  <w:sz w:val="20"/>
                  <w:u w:val="single"/>
                </w:rPr>
                <w:t>Notes to Condensed Consolidated Financial Statements (unaudited)</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e308df02e2740c8b30b5fcca5d7dd12_28">
              <w:r>
                <w:rPr>
                  <w:rStyle w:val="InternetLink"/>
                  <w:rFonts w:ascii="Times New Roman;serif" w:hAnsi="Times New Roman;serif"/>
                  <w:b w:val="false"/>
                  <w:color w:val="0000FF"/>
                  <w:sz w:val="20"/>
                  <w:u w:val="single"/>
                </w:rPr>
                <w:t>8</w:t>
              </w:r>
            </w:hyperlink>
          </w:p>
        </w:tc>
      </w:tr>
      <w:tr>
        <w:trPr/>
        <w:tc>
          <w:tcPr>
            <w:tcW w:w="112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308df02e2740c8b30b5fcca5d7dd12_76">
              <w:r>
                <w:rPr>
                  <w:rStyle w:val="InternetLink"/>
                  <w:rFonts w:ascii="Times New Roman;serif" w:hAnsi="Times New Roman;serif"/>
                  <w:b w:val="false"/>
                  <w:color w:val="000000"/>
                  <w:sz w:val="20"/>
                  <w:u w:val="single"/>
                </w:rPr>
                <w:t>Item 2.</w:t>
              </w:r>
            </w:hyperlink>
          </w:p>
        </w:tc>
        <w:tc>
          <w:tcPr>
            <w:tcW w:w="8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308df02e2740c8b30b5fcca5d7dd12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e308df02e2740c8b30b5fcca5d7dd12_76">
              <w:r>
                <w:rPr>
                  <w:rStyle w:val="InternetLink"/>
                  <w:rFonts w:ascii="Times New Roman;serif" w:hAnsi="Times New Roman;serif"/>
                  <w:b w:val="false"/>
                  <w:color w:val="0000FF"/>
                  <w:sz w:val="20"/>
                  <w:u w:val="single"/>
                </w:rPr>
                <w:t>53</w:t>
              </w:r>
            </w:hyperlink>
          </w:p>
        </w:tc>
      </w:tr>
      <w:tr>
        <w:trPr/>
        <w:tc>
          <w:tcPr>
            <w:tcW w:w="112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308df02e2740c8b30b5fcca5d7dd12_97">
              <w:r>
                <w:rPr>
                  <w:rStyle w:val="InternetLink"/>
                  <w:rFonts w:ascii="Times New Roman;serif" w:hAnsi="Times New Roman;serif"/>
                  <w:b w:val="false"/>
                  <w:color w:val="000000"/>
                  <w:sz w:val="20"/>
                  <w:u w:val="single"/>
                </w:rPr>
                <w:t>Item 4.</w:t>
              </w:r>
            </w:hyperlink>
          </w:p>
        </w:tc>
        <w:tc>
          <w:tcPr>
            <w:tcW w:w="8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e308df02e2740c8b30b5fcca5d7dd12_97">
              <w:r>
                <w:rPr>
                  <w:rStyle w:val="InternetLink"/>
                  <w:rFonts w:ascii="Times New Roman;serif" w:hAnsi="Times New Roman;serif"/>
                  <w:b w:val="false"/>
                  <w:color w:val="0000FF"/>
                  <w:sz w:val="20"/>
                  <w:u w:val="single"/>
                </w:rPr>
                <w:t>Controls and Procedures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e308df02e2740c8b30b5fcca5d7dd12_97">
              <w:r>
                <w:rPr>
                  <w:rStyle w:val="InternetLink"/>
                  <w:rFonts w:ascii="Times New Roman;serif" w:hAnsi="Times New Roman;serif"/>
                  <w:b w:val="false"/>
                  <w:color w:val="0000FF"/>
                  <w:sz w:val="20"/>
                  <w:u w:val="single"/>
                </w:rPr>
                <w:t>84</w:t>
              </w:r>
            </w:hyperlink>
          </w:p>
        </w:tc>
      </w:tr>
      <w:tr>
        <w:trPr/>
        <w:tc>
          <w:tcPr>
            <w:tcW w:w="112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 Other Information</w:t>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308df02e2740c8b30b5fcca5d7dd12_103">
              <w:r>
                <w:rPr>
                  <w:rStyle w:val="InternetLink"/>
                  <w:rFonts w:ascii="Times New Roman;serif" w:hAnsi="Times New Roman;serif"/>
                  <w:b w:val="false"/>
                  <w:color w:val="000000"/>
                  <w:sz w:val="20"/>
                  <w:u w:val="single"/>
                </w:rPr>
                <w:t>Item 1.</w:t>
              </w:r>
            </w:hyperlink>
          </w:p>
        </w:tc>
        <w:tc>
          <w:tcPr>
            <w:tcW w:w="8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308df02e2740c8b30b5fcca5d7dd12_103">
              <w:r>
                <w:rPr>
                  <w:rStyle w:val="InternetLink"/>
                  <w:rFonts w:ascii="Times New Roman;serif" w:hAnsi="Times New Roman;serif"/>
                  <w:b w:val="false"/>
                  <w:color w:val="0000FF"/>
                  <w:sz w:val="20"/>
                  <w:u w:val="single"/>
                </w:rPr>
                <w:t>Legal Proceedings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e308df02e2740c8b30b5fcca5d7dd12_103">
              <w:r>
                <w:rPr>
                  <w:rStyle w:val="InternetLink"/>
                  <w:rFonts w:ascii="Times New Roman;serif" w:hAnsi="Times New Roman;serif"/>
                  <w:b w:val="false"/>
                  <w:color w:val="0000FF"/>
                  <w:sz w:val="20"/>
                  <w:u w:val="single"/>
                </w:rPr>
                <w:t>85</w:t>
              </w:r>
            </w:hyperlink>
          </w:p>
        </w:tc>
      </w:tr>
      <w:tr>
        <w:trPr/>
        <w:tc>
          <w:tcPr>
            <w:tcW w:w="112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hyperlink w:anchor="i3e308df02e2740c8b30b5fcca5d7dd12_106">
              <w:r>
                <w:rPr>
                  <w:rStyle w:val="InternetLink"/>
                  <w:rFonts w:ascii="Times New Roman;serif" w:hAnsi="Times New Roman;serif"/>
                  <w:b w:val="false"/>
                  <w:color w:val="000000"/>
                  <w:sz w:val="20"/>
                  <w:u w:val="single"/>
                </w:rPr>
                <w:t>Item 1A.</w:t>
              </w:r>
            </w:hyperlink>
          </w:p>
        </w:tc>
        <w:tc>
          <w:tcPr>
            <w:tcW w:w="8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308df02e2740c8b30b5fcca5d7dd12_106">
              <w:r>
                <w:rPr>
                  <w:rStyle w:val="InternetLink"/>
                  <w:rFonts w:ascii="Times New Roman;serif" w:hAnsi="Times New Roman;serif"/>
                  <w:b w:val="false"/>
                  <w:color w:val="0000FF"/>
                  <w:sz w:val="20"/>
                  <w:u w:val="single"/>
                </w:rPr>
                <w:t>Risk Factors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e308df02e2740c8b30b5fcca5d7dd12_106">
              <w:r>
                <w:rPr>
                  <w:rStyle w:val="InternetLink"/>
                  <w:rFonts w:ascii="Times New Roman;serif" w:hAnsi="Times New Roman;serif"/>
                  <w:b w:val="false"/>
                  <w:color w:val="0000FF"/>
                  <w:sz w:val="20"/>
                  <w:u w:val="single"/>
                </w:rPr>
                <w:t>85</w:t>
              </w:r>
            </w:hyperlink>
          </w:p>
        </w:tc>
      </w:tr>
      <w:tr>
        <w:trPr/>
        <w:tc>
          <w:tcPr>
            <w:tcW w:w="112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308df02e2740c8b30b5fcca5d7dd12_109">
              <w:r>
                <w:rPr>
                  <w:rStyle w:val="InternetLink"/>
                  <w:rFonts w:ascii="Times New Roman;serif" w:hAnsi="Times New Roman;serif"/>
                  <w:b w:val="false"/>
                  <w:color w:val="000000"/>
                  <w:sz w:val="20"/>
                  <w:u w:val="single"/>
                </w:rPr>
                <w:t>Item 2.</w:t>
              </w:r>
            </w:hyperlink>
          </w:p>
        </w:tc>
        <w:tc>
          <w:tcPr>
            <w:tcW w:w="8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308df02e2740c8b30b5fcca5d7dd12_109">
              <w:r>
                <w:rPr>
                  <w:rStyle w:val="InternetLink"/>
                  <w:rFonts w:ascii="Times New Roman;serif" w:hAnsi="Times New Roman;serif"/>
                  <w:b w:val="false"/>
                  <w:color w:val="0000FF"/>
                  <w:sz w:val="20"/>
                  <w:u w:val="single"/>
                </w:rPr>
                <w:t>Unregistered Sales of Equity Securities and Use of Proceeds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e308df02e2740c8b30b5fcca5d7dd12_109">
              <w:r>
                <w:rPr>
                  <w:rStyle w:val="InternetLink"/>
                  <w:rFonts w:ascii="Times New Roman;serif" w:hAnsi="Times New Roman;serif"/>
                  <w:b w:val="false"/>
                  <w:color w:val="0000FF"/>
                  <w:sz w:val="20"/>
                  <w:u w:val="single"/>
                </w:rPr>
                <w:t>86</w:t>
              </w:r>
            </w:hyperlink>
          </w:p>
        </w:tc>
      </w:tr>
      <w:tr>
        <w:trPr/>
        <w:tc>
          <w:tcPr>
            <w:tcW w:w="112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308df02e2740c8b30b5fcca5d7dd12_112">
              <w:r>
                <w:rPr>
                  <w:rStyle w:val="InternetLink"/>
                  <w:rFonts w:ascii="Times New Roman;serif" w:hAnsi="Times New Roman;serif"/>
                  <w:b w:val="false"/>
                  <w:color w:val="000000"/>
                  <w:sz w:val="20"/>
                  <w:u w:val="single"/>
                </w:rPr>
                <w:t>Item 3</w:t>
              </w:r>
            </w:hyperlink>
            <w:r>
              <w:rPr>
                <w:rFonts w:ascii="Times New Roman;serif" w:hAnsi="Times New Roman;serif"/>
                <w:b w:val="false"/>
                <w:color w:val="000000"/>
                <w:sz w:val="20"/>
              </w:rPr>
              <w:t>.</w:t>
            </w:r>
          </w:p>
        </w:tc>
        <w:tc>
          <w:tcPr>
            <w:tcW w:w="8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308df02e2740c8b30b5fcca5d7dd12_112">
              <w:r>
                <w:rPr>
                  <w:rStyle w:val="InternetLink"/>
                  <w:rFonts w:ascii="Times New Roman;serif" w:hAnsi="Times New Roman;serif"/>
                  <w:b w:val="false"/>
                  <w:color w:val="0000FF"/>
                  <w:sz w:val="20"/>
                  <w:u w:val="single"/>
                </w:rPr>
                <w:t>Defaults Upon Senior Securities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e308df02e2740c8b30b5fcca5d7dd12_112">
              <w:r>
                <w:rPr>
                  <w:rStyle w:val="InternetLink"/>
                  <w:rFonts w:ascii="Times New Roman;serif" w:hAnsi="Times New Roman;serif"/>
                  <w:b w:val="false"/>
                  <w:color w:val="0000FF"/>
                  <w:sz w:val="20"/>
                  <w:u w:val="single"/>
                </w:rPr>
                <w:t>86</w:t>
              </w:r>
            </w:hyperlink>
          </w:p>
        </w:tc>
      </w:tr>
      <w:tr>
        <w:trPr/>
        <w:tc>
          <w:tcPr>
            <w:tcW w:w="112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308df02e2740c8b30b5fcca5d7dd12_115">
              <w:r>
                <w:rPr>
                  <w:rStyle w:val="InternetLink"/>
                  <w:rFonts w:ascii="Times New Roman;serif" w:hAnsi="Times New Roman;serif"/>
                  <w:b w:val="false"/>
                  <w:color w:val="000000"/>
                  <w:sz w:val="20"/>
                  <w:u w:val="single"/>
                </w:rPr>
                <w:t>Item 4.</w:t>
              </w:r>
            </w:hyperlink>
          </w:p>
        </w:tc>
        <w:tc>
          <w:tcPr>
            <w:tcW w:w="8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308df02e2740c8b30b5fcca5d7dd12_115">
              <w:r>
                <w:rPr>
                  <w:rStyle w:val="InternetLink"/>
                  <w:rFonts w:ascii="Times New Roman;serif" w:hAnsi="Times New Roman;serif"/>
                  <w:b w:val="false"/>
                  <w:color w:val="0000FF"/>
                  <w:sz w:val="20"/>
                  <w:u w:val="single"/>
                </w:rPr>
                <w:t>Mine Safety Disclosures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e308df02e2740c8b30b5fcca5d7dd12_115">
              <w:r>
                <w:rPr>
                  <w:rStyle w:val="InternetLink"/>
                  <w:rFonts w:ascii="Times New Roman;serif" w:hAnsi="Times New Roman;serif"/>
                  <w:b w:val="false"/>
                  <w:color w:val="0000FF"/>
                  <w:sz w:val="20"/>
                  <w:u w:val="single"/>
                </w:rPr>
                <w:t>86</w:t>
              </w:r>
            </w:hyperlink>
          </w:p>
        </w:tc>
      </w:tr>
      <w:tr>
        <w:trPr/>
        <w:tc>
          <w:tcPr>
            <w:tcW w:w="112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308df02e2740c8b30b5fcca5d7dd12_118">
              <w:r>
                <w:rPr>
                  <w:rStyle w:val="InternetLink"/>
                  <w:rFonts w:ascii="Times New Roman;serif" w:hAnsi="Times New Roman;serif"/>
                  <w:b w:val="false"/>
                  <w:color w:val="000000"/>
                  <w:sz w:val="20"/>
                  <w:u w:val="single"/>
                </w:rPr>
                <w:t xml:space="preserve">Item 5. </w:t>
              </w:r>
            </w:hyperlink>
          </w:p>
        </w:tc>
        <w:tc>
          <w:tcPr>
            <w:tcW w:w="8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308df02e2740c8b30b5fcca5d7dd12_118">
              <w:r>
                <w:rPr>
                  <w:rStyle w:val="InternetLink"/>
                  <w:rFonts w:ascii="Times New Roman;serif" w:hAnsi="Times New Roman;serif"/>
                  <w:b w:val="false"/>
                  <w:color w:val="0000FF"/>
                  <w:sz w:val="20"/>
                  <w:u w:val="single"/>
                </w:rPr>
                <w:t>Other Information</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e308df02e2740c8b30b5fcca5d7dd12_118">
              <w:r>
                <w:rPr>
                  <w:rStyle w:val="InternetLink"/>
                  <w:rFonts w:ascii="Times New Roman;serif" w:hAnsi="Times New Roman;serif"/>
                  <w:b w:val="false"/>
                  <w:color w:val="0000FF"/>
                  <w:sz w:val="20"/>
                  <w:u w:val="single"/>
                </w:rPr>
                <w:t>87</w:t>
              </w:r>
            </w:hyperlink>
          </w:p>
        </w:tc>
      </w:tr>
      <w:tr>
        <w:trPr/>
        <w:tc>
          <w:tcPr>
            <w:tcW w:w="112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 6.</w:t>
            </w:r>
          </w:p>
        </w:tc>
        <w:tc>
          <w:tcPr>
            <w:tcW w:w="8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308df02e2740c8b30b5fcca5d7dd12_121">
              <w:r>
                <w:rPr>
                  <w:rStyle w:val="InternetLink"/>
                  <w:rFonts w:ascii="Times New Roman;serif" w:hAnsi="Times New Roman;serif"/>
                  <w:b w:val="false"/>
                  <w:color w:val="0000FF"/>
                  <w:sz w:val="20"/>
                  <w:u w:val="single"/>
                </w:rPr>
                <w:t>Exhibits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e308df02e2740c8b30b5fcca5d7dd12_121">
              <w:r>
                <w:rPr>
                  <w:rStyle w:val="InternetLink"/>
                  <w:rFonts w:ascii="Times New Roman;serif" w:hAnsi="Times New Roman;serif"/>
                  <w:b w:val="false"/>
                  <w:color w:val="0000FF"/>
                  <w:sz w:val="20"/>
                  <w:u w:val="single"/>
                </w:rPr>
                <w:t>88</w:t>
              </w:r>
            </w:hyperlink>
          </w:p>
        </w:tc>
      </w:tr>
      <w:tr>
        <w:trPr/>
        <w:tc>
          <w:tcPr>
            <w:tcW w:w="112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308df02e2740c8b30b5fcca5d7dd12_124">
              <w:r>
                <w:rPr>
                  <w:rStyle w:val="InternetLink"/>
                  <w:rFonts w:ascii="Times New Roman;serif" w:hAnsi="Times New Roman;serif"/>
                  <w:b w:val="false"/>
                  <w:color w:val="0000FF"/>
                  <w:sz w:val="20"/>
                  <w:u w:val="single"/>
                </w:rPr>
                <w:t>Signatures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e308df02e2740c8b30b5fcca5d7dd12_124">
              <w:r>
                <w:rPr>
                  <w:rStyle w:val="InternetLink"/>
                  <w:rFonts w:ascii="Times New Roman;serif" w:hAnsi="Times New Roman;serif"/>
                  <w:b w:val="false"/>
                  <w:color w:val="0000FF"/>
                  <w:sz w:val="20"/>
                  <w:u w:val="single"/>
                </w:rPr>
                <w:t>89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KESTREL GROUP LTD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tbl>
      <w:tblPr>
        <w:tblW w:w="10205" w:type="dxa"/>
        <w:jc w:val="center"/>
        <w:tblInd w:w="0" w:type="dxa"/>
        <w:tblLayout w:type="fixed"/>
        <w:tblCellMar>
          <w:top w:w="28" w:type="dxa"/>
          <w:left w:w="28" w:type="dxa"/>
          <w:bottom w:w="28" w:type="dxa"/>
          <w:right w:w="28" w:type="dxa"/>
        </w:tblCellMar>
      </w:tblPr>
      <w:tblGrid>
        <w:gridCol w:w="2685"/>
        <w:gridCol w:w="2230"/>
        <w:gridCol w:w="2245"/>
        <w:gridCol w:w="109"/>
        <w:gridCol w:w="109"/>
        <w:gridCol w:w="109"/>
        <w:gridCol w:w="211"/>
        <w:gridCol w:w="976"/>
        <w:gridCol w:w="109"/>
        <w:gridCol w:w="109"/>
        <w:gridCol w:w="109"/>
        <w:gridCol w:w="109"/>
        <w:gridCol w:w="235"/>
        <w:gridCol w:w="686"/>
        <w:gridCol w:w="174"/>
      </w:tblGrid>
      <w:tr>
        <w:trPr/>
        <w:tc>
          <w:tcPr>
            <w:tcW w:w="2685"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(Audited)</w:t>
            </w:r>
          </w:p>
        </w:tc>
      </w:tr>
      <w:tr>
        <w:trPr/>
        <w:tc>
          <w:tcPr>
            <w:tcW w:w="716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i/>
                <w:color w:val="000000"/>
                <w:sz w:val="20"/>
              </w:rPr>
            </w:pPr>
            <w:r>
              <w:rPr>
                <w:rFonts w:ascii="Times New Roman;serif" w:hAnsi="Times New Roman;serif"/>
                <w:b w:val="false"/>
                <w:i/>
                <w:color w:val="000000"/>
                <w:sz w:val="20"/>
              </w:rPr>
              <w:t>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Fixed maturities, available-for-sale, at fair value </w:t>
            </w:r>
            <w:r>
              <w:rPr>
                <w:rFonts w:ascii="Times New Roman;serif" w:hAnsi="Times New Roman;serif"/>
                <w:b w:val="false"/>
                <w:i/>
                <w:color w:val="000000"/>
                <w:sz w:val="20"/>
              </w:rPr>
              <w:t>(Amortized cost: 2025 - $197,941)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Equity securities, at fair value </w:t>
            </w:r>
            <w:r>
              <w:rPr>
                <w:rFonts w:ascii="Times New Roman;serif" w:hAnsi="Times New Roman;serif"/>
                <w:b w:val="false"/>
                <w:i/>
                <w:color w:val="000000"/>
                <w:sz w:val="20"/>
              </w:rPr>
              <w:t>(Cost: 2025 - $11,145)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Other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171,791 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16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cash equivalents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174"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16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Accrued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Reinsurance balances receivable, net (includes $7,712 from related parties in 2025). </w:t>
            </w:r>
            <w:r>
              <w:rPr>
                <w:rFonts w:ascii="Times New Roman;serif" w:hAnsi="Times New Roman;serif"/>
                <w:b w:val="false"/>
                <w:i/>
                <w:color w:val="000000"/>
                <w:sz w:val="20"/>
              </w:rPr>
              <w:t>Allowance for expected credit losses: 2025 - $229)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Reinsurance recoverable on unpaid losses </w:t>
            </w:r>
            <w:r>
              <w:rPr>
                <w:rFonts w:ascii="Times New Roman;serif" w:hAnsi="Times New Roman;serif"/>
                <w:b w:val="false"/>
                <w:i/>
                <w:color w:val="000000"/>
                <w:sz w:val="20"/>
              </w:rPr>
              <w:t>(Allowance for expected credit losses: 2025 - $1,459)</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492,790 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loan receivable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(includes $9,169 from related parties in 2025)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Funds withheld receivable</w:t>
            </w:r>
            <w:r>
              <w:rPr>
                <w:color w:val="000000"/>
              </w:rPr>
              <w:t xml:space="preserve"> </w:t>
            </w:r>
            <w:r>
              <w:rPr>
                <w:rFonts w:ascii="Times New Roman;serif" w:hAnsi="Times New Roman;serif"/>
                <w:b w:val="false"/>
                <w:i/>
                <w:color w:val="000000"/>
                <w:sz w:val="20"/>
              </w:rPr>
              <w:t>(Allowance for expected credit losses: 2025 -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16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24,872 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7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1,130,440 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5,510 </w:t>
            </w:r>
          </w:p>
        </w:tc>
        <w:tc>
          <w:tcPr>
            <w:tcW w:w="17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Reserve for loss and loss adjustment expenses (includes $589,815 from related parties in 2025)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677,667 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Unearned premiums (includes $19,401 from related parties in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16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for securities purchased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11,692 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 (includes $68,508 and $0 from related parties in 2025 and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16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Senior notes - principal amount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fair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Senior notes, net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174,084 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986,666 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7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i/>
                <w:color w:val="000000"/>
                <w:sz w:val="20"/>
              </w:rPr>
            </w:pPr>
            <w:r>
              <w:rPr>
                <w:rFonts w:ascii="Times New Roman;serif" w:hAnsi="Times New Roman;serif"/>
                <w:b/>
                <w:i/>
                <w:color w:val="000000"/>
                <w:sz w:val="20"/>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EQUITY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($0.01 par value; 2025: 9,979,477 and 2024 - 2,749,996 shares issued; 2025: 7,741,943 and 2024 - 2,749,996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16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Additional paid-in capital</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177,101 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10,107 </w:t>
            </w:r>
          </w:p>
        </w:tc>
        <w:tc>
          <w:tcPr>
            <w:tcW w:w="17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color w:val="000000"/>
              </w:rPr>
            </w:pPr>
            <w:r>
              <w:rPr>
                <w:color w:val="000000"/>
              </w:rPr>
              <w:t>   </w:t>
            </w:r>
            <w:r>
              <w:rPr>
                <w:rFonts w:ascii="Times New Roman;serif" w:hAnsi="Times New Roman;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16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Retained Earnings (accumulated deficit)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18,952 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w:t>
            </w:r>
          </w:p>
        </w:tc>
        <w:tc>
          <w:tcPr>
            <w:tcW w:w="17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shares, at cost (2025: 2,237,534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143,774 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17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1,130,440 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KESTREL GROUP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per share data)</w:t>
      </w:r>
    </w:p>
    <w:tbl>
      <w:tblPr>
        <w:tblW w:w="10205" w:type="dxa"/>
        <w:jc w:val="center"/>
        <w:tblInd w:w="0" w:type="dxa"/>
        <w:tblLayout w:type="fixed"/>
        <w:tblCellMar>
          <w:top w:w="28" w:type="dxa"/>
          <w:left w:w="28" w:type="dxa"/>
          <w:bottom w:w="28" w:type="dxa"/>
          <w:right w:w="28" w:type="dxa"/>
        </w:tblCellMar>
      </w:tblPr>
      <w:tblGrid>
        <w:gridCol w:w="1624"/>
        <w:gridCol w:w="1189"/>
        <w:gridCol w:w="1201"/>
        <w:gridCol w:w="109"/>
        <w:gridCol w:w="109"/>
        <w:gridCol w:w="109"/>
        <w:gridCol w:w="307"/>
        <w:gridCol w:w="785"/>
        <w:gridCol w:w="125"/>
        <w:gridCol w:w="125"/>
        <w:gridCol w:w="125"/>
        <w:gridCol w:w="125"/>
        <w:gridCol w:w="307"/>
        <w:gridCol w:w="732"/>
        <w:gridCol w:w="125"/>
        <w:gridCol w:w="109"/>
        <w:gridCol w:w="109"/>
        <w:gridCol w:w="109"/>
        <w:gridCol w:w="263"/>
        <w:gridCol w:w="802"/>
        <w:gridCol w:w="121"/>
        <w:gridCol w:w="121"/>
        <w:gridCol w:w="121"/>
        <w:gridCol w:w="121"/>
        <w:gridCol w:w="280"/>
        <w:gridCol w:w="772"/>
        <w:gridCol w:w="180"/>
      </w:tblGrid>
      <w:tr>
        <w:trPr/>
        <w:tc>
          <w:tcPr>
            <w:tcW w:w="162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01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3,895 </w:t>
            </w:r>
          </w:p>
        </w:tc>
        <w:tc>
          <w:tcPr>
            <w:tcW w:w="125"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21"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Change in unearned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6,836 </w:t>
            </w:r>
          </w:p>
        </w:tc>
        <w:tc>
          <w:tcPr>
            <w:tcW w:w="12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9,258 </w:t>
            </w:r>
          </w:p>
        </w:tc>
        <w:tc>
          <w:tcPr>
            <w:tcW w:w="12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5,059 </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8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401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17,445 </w:t>
            </w:r>
          </w:p>
        </w:tc>
        <w:tc>
          <w:tcPr>
            <w:tcW w:w="12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2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23,841 </w:t>
            </w:r>
          </w:p>
        </w:tc>
        <w:tc>
          <w:tcPr>
            <w:tcW w:w="12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2,627 </w:t>
            </w:r>
          </w:p>
        </w:tc>
        <w:tc>
          <w:tcPr>
            <w:tcW w:w="18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and loss adjustment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10,406 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4,445 </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10,783 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17,006 </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3,980 </w:t>
            </w:r>
          </w:p>
        </w:tc>
        <w:tc>
          <w:tcPr>
            <w:tcW w:w="18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and amortization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 out liability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bargain 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 losses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Net (loss) income before income taxes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w:t>
            </w:r>
          </w:p>
        </w:tc>
        <w:tc>
          <w:tcPr>
            <w:tcW w:w="12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2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66,066 </w:t>
            </w:r>
          </w:p>
        </w:tc>
        <w:tc>
          <w:tcPr>
            <w:tcW w:w="12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18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 loss of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65,940 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income tax</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64,480 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4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4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4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401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4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4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4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Basic and diluted (loss) earnings from continuing operations per share attributable to Kestrel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Basic and diluted loss from discontinued operations per share attributable to Kestrel common shareholders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Basic and diluted (loss) earnings per share attributable to Kestrel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401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 basic and diluted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7,741,943 </w:t>
            </w:r>
          </w:p>
        </w:tc>
        <w:tc>
          <w:tcPr>
            <w:tcW w:w="125"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2,749,996 </w:t>
            </w:r>
          </w:p>
        </w:tc>
        <w:tc>
          <w:tcPr>
            <w:tcW w:w="125"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5,053,828 </w:t>
            </w:r>
          </w:p>
        </w:tc>
        <w:tc>
          <w:tcPr>
            <w:tcW w:w="121"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2,749,996 </w:t>
            </w:r>
          </w:p>
        </w:tc>
        <w:tc>
          <w:tcPr>
            <w:tcW w:w="180" w:type="dxa"/>
            <w:tcBorders>
              <w:top w:val="doub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KESTREL GROUP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w:t>
      </w:r>
    </w:p>
    <w:tbl>
      <w:tblPr>
        <w:tblW w:w="10205" w:type="dxa"/>
        <w:jc w:val="center"/>
        <w:tblInd w:w="0" w:type="dxa"/>
        <w:tblLayout w:type="fixed"/>
        <w:tblCellMar>
          <w:top w:w="28" w:type="dxa"/>
          <w:left w:w="28" w:type="dxa"/>
          <w:bottom w:w="28" w:type="dxa"/>
          <w:right w:w="28" w:type="dxa"/>
        </w:tblCellMar>
      </w:tblPr>
      <w:tblGrid>
        <w:gridCol w:w="1482"/>
        <w:gridCol w:w="1289"/>
        <w:gridCol w:w="1227"/>
        <w:gridCol w:w="109"/>
        <w:gridCol w:w="109"/>
        <w:gridCol w:w="109"/>
        <w:gridCol w:w="266"/>
        <w:gridCol w:w="845"/>
        <w:gridCol w:w="137"/>
        <w:gridCol w:w="137"/>
        <w:gridCol w:w="137"/>
        <w:gridCol w:w="137"/>
        <w:gridCol w:w="266"/>
        <w:gridCol w:w="655"/>
        <w:gridCol w:w="137"/>
        <w:gridCol w:w="109"/>
        <w:gridCol w:w="109"/>
        <w:gridCol w:w="109"/>
        <w:gridCol w:w="248"/>
        <w:gridCol w:w="849"/>
        <w:gridCol w:w="128"/>
        <w:gridCol w:w="128"/>
        <w:gridCol w:w="128"/>
        <w:gridCol w:w="128"/>
        <w:gridCol w:w="248"/>
        <w:gridCol w:w="786"/>
        <w:gridCol w:w="193"/>
      </w:tblGrid>
      <w:tr>
        <w:trPr/>
        <w:tc>
          <w:tcPr>
            <w:tcW w:w="1482"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99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w:t>
            </w:r>
          </w:p>
        </w:tc>
        <w:tc>
          <w:tcPr>
            <w:tcW w:w="13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3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64,480 </w:t>
            </w:r>
          </w:p>
        </w:tc>
        <w:tc>
          <w:tcPr>
            <w:tcW w:w="12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19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holdings gains on AFS fixed maturities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3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2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gains on held for sale fixed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3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w:t>
            </w:r>
          </w:p>
        </w:tc>
        <w:tc>
          <w:tcPr>
            <w:tcW w:w="12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related to components of other comprehensive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after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Comprehensive (loss)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w:t>
            </w:r>
          </w:p>
        </w:tc>
        <w:tc>
          <w:tcPr>
            <w:tcW w:w="13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3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63,564 </w:t>
            </w:r>
          </w:p>
        </w:tc>
        <w:tc>
          <w:tcPr>
            <w:tcW w:w="12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19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KESTREL GROUP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w:t>
      </w:r>
    </w:p>
    <w:tbl>
      <w:tblPr>
        <w:tblW w:w="10205" w:type="dxa"/>
        <w:jc w:val="center"/>
        <w:tblInd w:w="0" w:type="dxa"/>
        <w:tblLayout w:type="fixed"/>
        <w:tblCellMar>
          <w:top w:w="28" w:type="dxa"/>
          <w:left w:w="28" w:type="dxa"/>
          <w:bottom w:w="28" w:type="dxa"/>
          <w:right w:w="28" w:type="dxa"/>
        </w:tblCellMar>
      </w:tblPr>
      <w:tblGrid>
        <w:gridCol w:w="1278"/>
        <w:gridCol w:w="1068"/>
        <w:gridCol w:w="1064"/>
        <w:gridCol w:w="109"/>
        <w:gridCol w:w="109"/>
        <w:gridCol w:w="109"/>
        <w:gridCol w:w="269"/>
        <w:gridCol w:w="1057"/>
        <w:gridCol w:w="139"/>
        <w:gridCol w:w="139"/>
        <w:gridCol w:w="139"/>
        <w:gridCol w:w="139"/>
        <w:gridCol w:w="269"/>
        <w:gridCol w:w="788"/>
        <w:gridCol w:w="139"/>
        <w:gridCol w:w="109"/>
        <w:gridCol w:w="109"/>
        <w:gridCol w:w="109"/>
        <w:gridCol w:w="262"/>
        <w:gridCol w:w="1029"/>
        <w:gridCol w:w="135"/>
        <w:gridCol w:w="135"/>
        <w:gridCol w:w="135"/>
        <w:gridCol w:w="135"/>
        <w:gridCol w:w="262"/>
        <w:gridCol w:w="767"/>
        <w:gridCol w:w="203"/>
      </w:tblGrid>
      <w:tr>
        <w:trPr/>
        <w:tc>
          <w:tcPr>
            <w:tcW w:w="127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3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3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03"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on Combination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4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3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3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0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176,885 </w:t>
            </w:r>
          </w:p>
        </w:tc>
        <w:tc>
          <w:tcPr>
            <w:tcW w:w="13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10,047 </w:t>
            </w:r>
          </w:p>
        </w:tc>
        <w:tc>
          <w:tcPr>
            <w:tcW w:w="13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10,107 </w:t>
            </w:r>
          </w:p>
        </w:tc>
        <w:tc>
          <w:tcPr>
            <w:tcW w:w="13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10,047 </w:t>
            </w:r>
          </w:p>
        </w:tc>
        <w:tc>
          <w:tcPr>
            <w:tcW w:w="20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341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issued as consideration for Combination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166,539 </w:t>
            </w:r>
          </w:p>
        </w:tc>
        <w:tc>
          <w:tcPr>
            <w:tcW w:w="13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177,101 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177,101 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Accumulated other comprehensive loss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Change in net unrealized investment gains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3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3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3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3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Retained earnings (accumulated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24,005 </w:t>
            </w:r>
          </w:p>
        </w:tc>
        <w:tc>
          <w:tcPr>
            <w:tcW w:w="13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(5,161)</w:t>
            </w:r>
          </w:p>
        </w:tc>
        <w:tc>
          <w:tcPr>
            <w:tcW w:w="13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w:t>
            </w:r>
          </w:p>
        </w:tc>
        <w:tc>
          <w:tcPr>
            <w:tcW w:w="13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w:t>
            </w:r>
          </w:p>
        </w:tc>
        <w:tc>
          <w:tcPr>
            <w:tcW w:w="20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64,480 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41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 shareholders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13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Treasury shares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to Maiden Reinsurance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(51,463)</w:t>
            </w:r>
          </w:p>
        </w:tc>
        <w:tc>
          <w:tcPr>
            <w:tcW w:w="13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(51,463)</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(51,463)</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4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143,774 </w:t>
            </w:r>
          </w:p>
        </w:tc>
        <w:tc>
          <w:tcPr>
            <w:tcW w:w="13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4,484 </w:t>
            </w:r>
          </w:p>
        </w:tc>
        <w:tc>
          <w:tcPr>
            <w:tcW w:w="13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143,774 </w:t>
            </w:r>
          </w:p>
        </w:tc>
        <w:tc>
          <w:tcPr>
            <w:tcW w:w="13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4,484 </w:t>
            </w:r>
          </w:p>
        </w:tc>
        <w:tc>
          <w:tcPr>
            <w:tcW w:w="20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KESTREL GROUP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of U.S. dollars)</w:t>
      </w:r>
    </w:p>
    <w:tbl>
      <w:tblPr>
        <w:tblW w:w="9890" w:type="dxa"/>
        <w:jc w:val="center"/>
        <w:tblInd w:w="0" w:type="dxa"/>
        <w:tblLayout w:type="fixed"/>
        <w:tblCellMar>
          <w:top w:w="28" w:type="dxa"/>
          <w:left w:w="28" w:type="dxa"/>
          <w:bottom w:w="28" w:type="dxa"/>
          <w:right w:w="28" w:type="dxa"/>
        </w:tblCellMar>
      </w:tblPr>
      <w:tblGrid>
        <w:gridCol w:w="2641"/>
        <w:gridCol w:w="2324"/>
        <w:gridCol w:w="2339"/>
        <w:gridCol w:w="109"/>
        <w:gridCol w:w="109"/>
        <w:gridCol w:w="109"/>
        <w:gridCol w:w="196"/>
        <w:gridCol w:w="646"/>
        <w:gridCol w:w="109"/>
        <w:gridCol w:w="109"/>
        <w:gridCol w:w="109"/>
        <w:gridCol w:w="109"/>
        <w:gridCol w:w="196"/>
        <w:gridCol w:w="631"/>
        <w:gridCol w:w="154"/>
      </w:tblGrid>
      <w:tr>
        <w:trPr/>
        <w:tc>
          <w:tcPr>
            <w:tcW w:w="2641"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30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net loss from discontinued operations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Adjustments to reconcile net income to net 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expenses (credit losses, depreciation, amortization, share-based compensation, leases)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 loss of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realized and unrealized investment gains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(6,552)</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bargain 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exchange and other losses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 xml:space="preserve">Changes in assets </w:t>
            </w:r>
            <w:r>
              <w:rPr>
                <w:color w:val="000000"/>
              </w:rPr>
              <w:t xml:space="preserve">– </w:t>
            </w:r>
            <w:r>
              <w:rPr>
                <w:rFonts w:ascii="Times New Roman;serif" w:hAnsi="Times New Roman;serif"/>
                <w:b w:val="false"/>
                <w:i/>
                <w:color w:val="000000"/>
                <w:sz w:val="18"/>
              </w:rPr>
              <w:t>(increase)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balances receivable, net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recoverable on unpaid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Funds withheld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1,835 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 xml:space="preserve">Changes in liabilities </w:t>
            </w:r>
            <w:r>
              <w:rPr>
                <w:color w:val="000000"/>
              </w:rPr>
              <w:t xml:space="preserve">– </w:t>
            </w:r>
            <w:r>
              <w:rPr>
                <w:rFonts w:ascii="Times New Roman;serif" w:hAnsi="Times New Roman;serif"/>
                <w:b w:val="false"/>
                <w:i/>
                <w:color w:val="000000"/>
                <w:sz w:val="18"/>
              </w:rPr>
              <w:t>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Reserve for loss and loss adjustment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(47,246)</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31,815 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discontinued operations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Cash flows from investing activities: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fixed maturities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other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(7,458)</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fixed maturities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paydowns and calls of fixed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and redemption of other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acquired from purchase of business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30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loan receivable from related party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cash provided by investing activities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104,412 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 Kestrel equityholders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Effect of exchange rate changes on foreign currency cash, restricted cash and cash equivalents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restricted cash and cash equivalents, beginning of period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5,553 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restricted 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Less: change in cash and cash equivalents held for sale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restricted cash and cash equivalents, end of period, excluding held-for-sale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Reconciliation of cash and restricted cash reported within Condensed Consolidated Balance Sheets: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 end of period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27,634 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cash, restricted 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20"/>
        <w:jc w:val="left"/>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Basis of Presentation</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include the accounts of Kestrel Group Ltd ("Parent Company" or "Kestrel Group") and its subsidiaries (the "Company" or "Kestrel"). They have been prepared in accordance with accounting principles generally accepted in the United States ("U.S. GAAP") for interim financial information and with the instructions to Form 10-Q and Article 10 of Regulation S-X as promulgated by the U.S. Securities and Exchange Commission ("SEC"). Accordingly, they do not include all of the information and footnotes required by U.S. GAAP for complete financial statements. All significant intercompany transactions and accounts have been eliminated.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These interim unaudited Condensed Consolidated Financial Statements reflect all adjustments that are, in the opinion of management, necessary for a fair presentation of the results for the interim period and all such adjustments are of a normal recurring nature. The results of operations for the interim period are not necessarily indicative, if annualized, of those to be expected for the full year. The preparation of financial statements in conformity with U.S. GAAP requires management to make estimates and assumptions that affect the amounts reported in the financial statements and accompanying notes. Actual results could differ from those estimates.</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Kestrel Group Ltd transitioned from Article 5 to Article 7 of Regulation S-X as promulgated by the SEC since its core business fundamentally shifted from a general commercial operation to primarily functioning as an insurance company under its recent business combination as discussed further below. This change in SEC filing status necessitated significant adjustments to how the Company presents its balance sheet, income statement and other financial statements, to align with the specific requirements of Article 7 for insurance companies. As a result, the Company's assets, liabilities, and equity accounts have been reclassified to fit the new presentation requirements under Article 7. Certain prior year comparatives have been reclassified to conform to current period presentation. The effect of these reclassifications had no impact on previously reported shareholders' equity or net income, except the 2024 Kestrel equity was recast to conform with the current number of common shares issued to Kestrel equityholders and revised equity structure. Please see section on </w:t>
      </w:r>
      <w:r>
        <w:rPr>
          <w:rFonts w:ascii="Times New Roman;serif" w:hAnsi="Times New Roman;serif"/>
          <w:b w:val="false"/>
          <w:i/>
          <w:color w:val="000000"/>
          <w:sz w:val="20"/>
        </w:rPr>
        <w:t xml:space="preserve">Accounting Treatment for the Combination </w:t>
      </w:r>
      <w:r>
        <w:rPr>
          <w:rFonts w:ascii="Times New Roman;serif" w:hAnsi="Times New Roman;serif"/>
          <w:b w:val="false"/>
          <w:color w:val="000000"/>
          <w:sz w:val="20"/>
        </w:rPr>
        <w:t xml:space="preserve">for further details on reclassifications. </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Introductory Note</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On May 27, 2025, Kestrel Group LLC (“Kestrel LLC”) and Maiden Holdings, Ltd. (“Maiden”) completed their previously announced combination agreement ("Combination"), forming a new, publicly listed specialty program company operating under the name Kestrel Group Ltd. The Combination, which had been previously announced on December 30, 2024, effectuated the transaction via the formation of a new Bermuda holding company, Bermuda Ranger Topco Ltd. ("Bermuda NewCo"). Both Kestrel LLC and Maiden completed a series of transactions to become indirect wholly owned subsidiaries of Bermuda NewCo, and upon the closing of the transactions, Bermuda NewCo was renamed “Kestrel Group Ltd” and rebranded as Kestrel Group and is the successor company to Maiden. </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Maiden shares ceased trading on the NASDAQ Capital Market ("Nasdaq") at close of market on May 27, 2025 and Kestrel Group shares began trading on the Nasdaq on May 28, 2025 under the ticker symbol “KG”. The Combination creates a capital light, fee-based insurance platform with the ability to selectively deploy underwriting capacity to optimize shareholder returns. </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Maiden Reinsurance Ltd. (“Maiden Reinsurance”) owns approximately 22.4% of the Company's total outstanding common shares, which is eliminated for accounting and financial reporting purposes in our condensed consolidated financial statements. On April 29, 2025, Maiden shareholders approved a proposal to remove the 9.5% voting limitation at the Company's special general meeting of its shareholders ("Special Meeting"). The ownership of the common shares by Maiden Reinsurance was made in compliance with Maiden Reinsurance's investment policy and approved by the Vermont Department of Financial Regulation ("Vermont DFR"). On April 29, 2025, all proposals related to Maiden’s business combination with Kestrel were approved by Maiden’s shareholders. </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Pursuant to the terms of the Combination, at the closing of the transaction on May 27, 2025, each issued and outstanding common share of Maiden, par value $0.01 per share, was automatically canceled and converted into the right to receive one-twentieth (0.05) of a common share in Kestrel Group. Please see </w:t>
      </w:r>
      <w:r>
        <w:rPr>
          <w:rFonts w:ascii="Times New Roman;serif" w:hAnsi="Times New Roman;serif"/>
          <w:b w:val="false"/>
          <w:i/>
          <w:color w:val="000000"/>
          <w:sz w:val="20"/>
        </w:rPr>
        <w:t>Note 6. Shareholders' Equity</w:t>
      </w:r>
      <w:r>
        <w:rPr>
          <w:color w:val="000000"/>
        </w:rPr>
        <w:t xml:space="preserve"> </w:t>
      </w:r>
      <w:r>
        <w:rPr>
          <w:rFonts w:ascii="Times New Roman;serif" w:hAnsi="Times New Roman;serif"/>
          <w:b w:val="false"/>
          <w:color w:val="000000"/>
          <w:sz w:val="20"/>
        </w:rPr>
        <w:t>for details of authorized share capital under the combined company.</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equityholders of Kestrel LLC at the closing date received an aggregate of $40.0 million in upfront cash and 2,749,996 common shares of the combined company. In addition, the former equityholders of Kestrel Group LLC remain entitled to receive contingent consideration up to the lesser of (x) $45.0 million payable in common shares of Kestrel Group upon the achievement of certain financial milestones, and (y) 2.75 million common shares of Kestrel Group.</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Following completion of the Combination, the board of directors of Kestrel Group consists of seven directors, made up of four directors selected by Kestrel Intermediate Ledbetter Holdings LLC, two of whom are independent under applicable securities laws and stock exchange rules, and three directors selected by AmTrust Financial Services, Inc. (“AmTrust”), two of whom are independent under applicable securities laws and stock exchange rules. Please see </w:t>
      </w:r>
      <w:r>
        <w:rPr>
          <w:rFonts w:ascii="Times New Roman;serif" w:hAnsi="Times New Roman;serif"/>
          <w:b w:val="false"/>
          <w:i/>
          <w:color w:val="000000"/>
          <w:sz w:val="20"/>
        </w:rPr>
        <w:t>Note 10. Related Party Transactions</w:t>
      </w:r>
      <w:r>
        <w:rPr>
          <w:color w:val="000000"/>
        </w:rPr>
        <w:t xml:space="preserve"> </w:t>
      </w:r>
      <w:r>
        <w:rPr>
          <w:rFonts w:ascii="Times New Roman;serif" w:hAnsi="Times New Roman;serif"/>
          <w:b w:val="false"/>
          <w:color w:val="000000"/>
          <w:sz w:val="20"/>
        </w:rPr>
        <w:t xml:space="preserve">for information regarding the Company's relationship with AmTrust. </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Legacy Reinsurance Operations</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Combination was completed with both parties in receipt of necessary regulatory approvals, including from the Vermont DFR which included approval for the extraordinary dividend required to complete the transaction. Under the conditions stipulated in the Vermont DFR approval, Maiden Reinsurance is no longer permitted to include the intercompany loan receivable from Maiden Holdings (and related accrued interest) as an admitted asset for statutory capital and reporting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120" w:after="120"/>
        <w:jc w:val="both"/>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Basis of Presentation (continued)</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Maiden Reinsurance's ratio of risk-based capital to total adjusted capital was significantly reduced, which remains sufficient to not only support the dividends related to the Combination with Kestrel and recurring annual dividends (and which require prior approval by the Vermont DFR) but the ability to selectively underwrite business in support of the Company's Program Services segment in the future. </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Accounting Treatment for the Combination</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Maiden was the legal acquirer of Kestrel. However, as a result of the terms of the Combination, for accounting purposes, the transaction is treated as a reverse acquisition and accounted for using the acquisition method in accordance with ASC Topic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This determination is primarily based on the following factors: 1) the former Kestrel LLC equityholders have the ability to nominate a majority of the members of the board of directors of the combined company and 2) subsequent to consummation of the transaction, when combined with common shares held by Maiden Reinsurance, of which Luke Ledbetter (acting in his capacity as President of Maiden Reinsurance) is authorized and has the discretion to vote on behalf of Maiden Reinsurance, the former Kestrel LLC equityholders have a majority of the voting rights of the combined company. As such, Maiden is treated as the acquired company for accounting purposes.</w:t>
      </w:r>
    </w:p>
    <w:p>
      <w:pPr>
        <w:pStyle w:val="TextBody"/>
        <w:bidi w:val="0"/>
        <w:spacing w:lineRule="auto" w:line="228" w:before="0" w:after="120"/>
        <w:ind w:left="0" w:right="0" w:firstLine="270"/>
        <w:jc w:val="both"/>
        <w:rPr/>
      </w:pPr>
      <w:r>
        <w:rPr>
          <w:rFonts w:ascii="Times New Roman;serif" w:hAnsi="Times New Roman;serif"/>
          <w:b w:val="false"/>
          <w:color w:val="000000"/>
          <w:sz w:val="20"/>
        </w:rPr>
        <w:t xml:space="preserve">Accordingly, for financial reporting purposes, the net assets of Kestrel LLC are stated at historical carrying values and its condensed consolidated financial statements are presented as the predecessor to the combined company in the historical financial statements following consummation of the transaction on May 27, 2025. The assets and liabilities of Maiden are recorded at their fair values measured as of the acquisition date. Any excess of the estimated fair values of the net assets acquired over the purchase price is recorded as a gain on bargain purchase. Based on final fair values of the assets acquired and liabilities assumed, a bargain purchase gain of $73,590 was recognized in this transaction. The operating results of Maiden are only presented within the consolidated results of Kestrel from the date of acquisition going forward. Please refer to </w:t>
      </w:r>
      <w:r>
        <w:rPr>
          <w:rFonts w:ascii="Times New Roman;serif" w:hAnsi="Times New Roman;serif"/>
          <w:b w:val="false"/>
          <w:i/>
          <w:color w:val="000000"/>
          <w:sz w:val="20"/>
        </w:rPr>
        <w:t xml:space="preserve">Note 15. Business Combination </w:t>
      </w:r>
      <w:r>
        <w:rPr>
          <w:rFonts w:ascii="Times New Roman;serif" w:hAnsi="Times New Roman;serif"/>
          <w:b w:val="false"/>
          <w:color w:val="000000"/>
          <w:sz w:val="20"/>
        </w:rPr>
        <w:t>for additional details regarding the accounting treatment for the Combination.</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Program Service Operations</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Kestrel specializes in providing fronting services to insurance program managers, managing general agents (MGAs), reinsurers, and reinsurance brokers. Kestrel facilitates insurance transactions utilizing its exclusive management contracts with four insurance carriers, all of which are rated A- “Excellent” by A.M. Best. These contracts enable Kestrel LLC to offer both admitted and surplus lines in all U.S. states. Kestrel LLC generally does not assume significant underwriting risk and produces lines of business such as casualty, workers’ compensation, catastrophe-exposed property, and non-catastrophe-exposed property, with diverse risk durations, sizes, and product types.</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As noted, Kestrel will continue to write business through its exclusive use of four A.M. Best A- FSC XV insurance carriers, Sierra Specialty Insurance Company, Rochdale Insurance Company, Park National Insurance Company and Republic Fire and Casualty Insurance Company (collectively, “AmTrust Insurance Companies”), all subsidiaries of AmTrust Financial Services, Inc. (“AmTrust”). Pursuant to the terms of the Combination Agreement, Kestrel retains the option to acquire the AmTrust Insurance Companies from AmTrust for a period of up to three years after closing of the Combination. AmTrust is a significant shareholder of Kestrel Group. Please see </w:t>
      </w:r>
      <w:r>
        <w:rPr>
          <w:rFonts w:ascii="Times New Roman;serif" w:hAnsi="Times New Roman;serif"/>
          <w:b w:val="false"/>
          <w:i/>
          <w:color w:val="000000"/>
          <w:sz w:val="20"/>
        </w:rPr>
        <w:t>Note 10. Related Party Transactions</w:t>
      </w:r>
      <w:r>
        <w:rPr>
          <w:color w:val="000000"/>
        </w:rPr>
        <w:t xml:space="preserve"> </w:t>
      </w:r>
      <w:r>
        <w:rPr>
          <w:rFonts w:ascii="Times New Roman;serif" w:hAnsi="Times New Roman;serif"/>
          <w:b w:val="false"/>
          <w:color w:val="000000"/>
          <w:sz w:val="20"/>
        </w:rPr>
        <w:t>for further information regarding the Company's relationship with AmTrust.</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Legacy Reinsurance Operations</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The Company does not presently underwrite prospective reinsurance risks but may consider selectively deploying underwriting capacity in support of the Company's program services operations to optimize shareholder returns. The Company has various historic reinsurance programs underwritten by Maiden Reinsurance which are in run-off, including liabilities associated with AmTrust reinsurance agreements which were terminated in 2019 as discussed in </w:t>
      </w:r>
      <w:r>
        <w:rPr>
          <w:rFonts w:ascii="Times New Roman;serif" w:hAnsi="Times New Roman;serif"/>
          <w:b w:val="false"/>
          <w:i/>
          <w:color w:val="000000"/>
          <w:sz w:val="20"/>
        </w:rPr>
        <w:t>Note 10. Related Party Transactions</w:t>
      </w:r>
      <w:r>
        <w:rPr>
          <w:rFonts w:ascii="Times New Roman;serif" w:hAnsi="Times New Roman;serif"/>
          <w:b w:val="false"/>
          <w:color w:val="000000"/>
          <w:sz w:val="20"/>
        </w:rPr>
        <w:t xml:space="preserve">. In addition, the Company has a retroactive reinsurance agreement and a commutation agreement that further reduces its exposure and limits the potential volatility related to AmTrust liabilities, as further discussed in </w:t>
      </w:r>
      <w:r>
        <w:rPr>
          <w:rFonts w:ascii="Times New Roman;serif" w:hAnsi="Times New Roman;serif"/>
          <w:b w:val="false"/>
          <w:i/>
          <w:color w:val="000000"/>
          <w:sz w:val="20"/>
        </w:rPr>
        <w:t>Note 8. Reinsurance</w:t>
      </w:r>
      <w:r>
        <w:rPr>
          <w:rFonts w:ascii="Times New Roman;serif" w:hAnsi="Times New Roman;serif"/>
          <w:b w:val="false"/>
          <w:color w:val="000000"/>
          <w:sz w:val="20"/>
        </w:rPr>
        <w:t xml:space="preserv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is also running off certain business related to its Genesis Legacy Solutions ("GLS") platform. In November 2020, Maiden formed its indirect wholly owned subsidiary GLS, which specialized in providing a full range of legacy services to small insurance entities, particularly those in run-off or with blocks of reserves that are no longer core to those companies' operations, working with clients to develop and implement finality solutions including acquiring entire companies. Having completed the capital commitment made to GLS in November 2020, Maiden did not commit any additional capital to new opportunities and continues to run-off the existing accounts underwritten by GLS. GLS continues to wind down the remaining open accounts, with one reinsurance agreement remaining open and one entity completing its run-off.</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Short-term income protection business was written on a primary basis by our wholly owned subsidiaries Maiden Life Försäkrings AB ("Maiden LF") and Maiden General Försäkrings AB ("Maiden GF") in the Scandinavian and Northern European markets. On November 29, 2024, Maiden entered into an agreement to sell Maiden LF and Maiden GF to a group of international insurance and reinsurance companies headquartered in the United Kingdom. Maiden GF and Maiden LF were the principal operating subsidiaries of the Company’s International Insurance Services (“IIS”) platform. The transaction was subject to customary regulatory approvals. In June 2025, the Swedish Financial Supervisory Authority (“SFSA”) declined to approve the sale of Maiden GF and Maiden LF. The proposed acquirer whose application was denied by the SFSA and Maiden have now entered into an amended sale agreement for the acquisition of only Maiden GF at the previously agreed valuation, The proposed acquirer believes it will satisfactorily address the deficiencies identified by the SFSA in its June 2025 decision. This amended transaction remains subject to customary regulatory approvals.</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120" w:after="120"/>
        <w:jc w:val="both"/>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Basis of Presentation (continued)</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The sale will continue to be an all-cash transaction and pursuant to the proposed terms of the agreement, certain existing staff of Maiden GF will transition to the proposed acquirer. In the wake of the decision of the SFSA, management continues to evaluate strategic alternatives for that business as well as Maiden LF, including a possible sale to a different third-party or a possible run-off and liquidation of the entity. Maiden LF and Maiden GF are not writing any new business and their non-insurance related assets and liabilities are represented as held-for-sale in our condensed consolidated financial statements. Please refer to </w:t>
      </w:r>
      <w:r>
        <w:rPr>
          <w:rFonts w:ascii="Times New Roman;serif" w:hAnsi="Times New Roman;serif"/>
          <w:b w:val="false"/>
          <w:i/>
          <w:color w:val="000000"/>
          <w:sz w:val="20"/>
        </w:rPr>
        <w:t>"Note 14. Assets Held for Sale"</w:t>
      </w:r>
      <w:r>
        <w:rPr>
          <w:color w:val="000000"/>
        </w:rPr>
        <w:t xml:space="preserve"> </w:t>
      </w:r>
      <w:r>
        <w:rPr>
          <w:rFonts w:ascii="Times New Roman;serif" w:hAnsi="Times New Roman;serif"/>
          <w:b w:val="false"/>
          <w:color w:val="000000"/>
          <w:sz w:val="20"/>
        </w:rPr>
        <w:t>for additional information regarding the effect of the pending transactions on the Company's Condensed Consolidated Financial Statements.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Except as explicitly described as held for sale or as discontinued operations, and unless otherwise noted, all discussions and amounts presented herein relate to the Company's continuing operations except for net income, and net income attributable to Kestrel common shareholders.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00" w:after="120"/>
        <w:jc w:val="left"/>
        <w:rPr>
          <w:rFonts w:ascii="Times New Roman;serif" w:hAnsi="Times New Roman;serif"/>
          <w:b/>
          <w:color w:val="000000"/>
          <w:sz w:val="20"/>
        </w:rPr>
      </w:pPr>
      <w:r>
        <w:rPr>
          <w:rFonts w:ascii="Times New Roman;serif" w:hAnsi="Times New Roman;serif"/>
          <w:b/>
          <w:color w:val="000000"/>
          <w:sz w:val="20"/>
        </w:rPr>
        <w:t>2. Significant Accounting Policies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contains a description of the Company's significant accounting policies for the nine months ended September 30, 2025:</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Basis of Reporting and Consolidation</w:t>
      </w:r>
      <w:r>
        <w:rPr>
          <w:color w:val="000000"/>
        </w:rPr>
        <w:t> — </w:t>
      </w:r>
      <w:r>
        <w:rPr>
          <w:rFonts w:ascii="Times New Roman;serif" w:hAnsi="Times New Roman;serif"/>
          <w:b w:val="false"/>
          <w:color w:val="000000"/>
          <w:sz w:val="20"/>
        </w:rPr>
        <w:t xml:space="preserve">These Consolidated Financial Statements have been prepared in conformity with accounting principles generally accepted in the U.S. ("U.S. GAAP") and include the accounts of Kestrel Group and all of its subsidiaries. These Consolidated Financial Statements reflect all adjustments that are, in the opinion of management, necessary for a fair presentation of the results for the period and all such adjustments are of a normal recurring nature. All significant intercompany transactions and accounts have been eliminated. Certain prior year comparatives have been reclassified to conform to the current year presentation. The effect of these reclassifications had no impact on previously reported shareholders' equity or net income. </w:t>
      </w:r>
    </w:p>
    <w:p>
      <w:pPr>
        <w:pStyle w:val="TextBody"/>
        <w:bidi w:val="0"/>
        <w:spacing w:lineRule="auto" w:line="228" w:before="0" w:after="120"/>
        <w:ind w:left="0" w:right="0" w:firstLine="270"/>
        <w:jc w:val="both"/>
        <w:rPr/>
      </w:pPr>
      <w:r>
        <w:rPr>
          <w:rFonts w:ascii="Times New Roman;serif" w:hAnsi="Times New Roman;serif"/>
          <w:b w:val="false"/>
          <w:color w:val="000000"/>
          <w:sz w:val="20"/>
        </w:rPr>
        <w:t xml:space="preserve">For financial reporting purposes, the net assets of Kestrel Group are stated at historical carrying values and its condensed consolidated financial statements are presented as the predecessor to the combined company in the historical financial statements following consummation of the transaction on May 27, 2025. The assets and liabilities of Maiden are recorded at the fair values measured as of the acquisition date. The operating results of Maiden are only presented within the consolidated results of Kestrel from the date of acquisition going forward. Please refer to </w:t>
      </w:r>
      <w:r>
        <w:rPr>
          <w:rFonts w:ascii="Times New Roman;serif" w:hAnsi="Times New Roman;serif"/>
          <w:b w:val="false"/>
          <w:i/>
          <w:color w:val="000000"/>
          <w:sz w:val="20"/>
        </w:rPr>
        <w:t xml:space="preserve">Note 15. Business Combination </w:t>
      </w:r>
      <w:r>
        <w:rPr>
          <w:rFonts w:ascii="Times New Roman;serif" w:hAnsi="Times New Roman;serif"/>
          <w:b w:val="false"/>
          <w:color w:val="000000"/>
          <w:sz w:val="20"/>
        </w:rPr>
        <w:t>for additional details regarding the accounting treatment for the Combination Agreement.</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Estimates</w:t>
      </w:r>
      <w:r>
        <w:rPr>
          <w:color w:val="000000"/>
        </w:rPr>
        <w:t> — </w:t>
      </w:r>
      <w:r>
        <w:rPr>
          <w:rFonts w:ascii="Times New Roman;serif" w:hAnsi="Times New Roman;serif"/>
          <w:b w:val="false"/>
          <w:color w:val="000000"/>
          <w:sz w:val="20"/>
        </w:rPr>
        <w:t xml:space="preserve">The preparation of U.S. GAAP Consolidated Financial Statements requires management to make estimates and assumptions that affect the reported and disclosed amounts of assets and liabilities and disclosure of contingent assets and liabilities at the date of the Consolidated Financial Statements and the reported amounts of revenues and expenses during the reporting period. Actual results could materially differ from those estimates. The significant estimates include, but are not limited to, reserve for loss and loss adjustment expenses ("loss and LAE"); unearned premium for AmTrust, recoverability of reinsurance balances receivable, reinsurance recoverable on unpaid losses, and funds withheld receivable; valuation of financial instruments and deferred tax assets; and the determination of an allowance for estimated credit losses on certain types of financial instruments which requires consideration of a broader range of reasonable and supportable information to inform credit loss estimates. Other significant estimates are related to the Combination Agreement including the value of business acquired ("VOBA") and the earn out liability, both of which are discussed in </w:t>
      </w:r>
      <w:r>
        <w:rPr>
          <w:rFonts w:ascii="Times New Roman;serif" w:hAnsi="Times New Roman;serif"/>
          <w:b w:val="false"/>
          <w:i/>
          <w:color w:val="000000"/>
          <w:sz w:val="20"/>
        </w:rPr>
        <w:t>Note 15. Business Combination.</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Short-term investments</w:t>
      </w:r>
      <w:r>
        <w:rPr>
          <w:color w:val="000000"/>
        </w:rPr>
        <w:t xml:space="preserve"> </w:t>
      </w:r>
      <w:r>
        <w:rPr>
          <w:rFonts w:ascii="Times New Roman;serif" w:hAnsi="Times New Roman;serif"/>
          <w:b w:val="false"/>
          <w:color w:val="000000"/>
          <w:sz w:val="20"/>
        </w:rPr>
        <w:t>- These investments are comprised of securities due to mature within one year of the date of purchase. The Company held no short-term investments as at September 30, 2025 and 2024.</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Equity securities</w:t>
      </w:r>
      <w:r>
        <w:rPr>
          <w:color w:val="000000"/>
        </w:rPr>
        <w:t xml:space="preserve"> </w:t>
      </w:r>
      <w:r>
        <w:rPr>
          <w:rFonts w:ascii="Times New Roman;serif" w:hAnsi="Times New Roman;serif"/>
          <w:b w:val="false"/>
          <w:color w:val="000000"/>
          <w:sz w:val="20"/>
        </w:rPr>
        <w:t>- Equity securities currently include privately held common and preferred stocks. Privately held common and preferred stocks are valued using significant inputs that are unobservable where there is little or no market activity. Unadjusted third party pricing sources or management's assumptions and internal valuation models may be used to determine their fair values. For investments without a readily determinable fair value, the measurement alternative can be elected to report the qualifying investment at cost, less impairment if any, plus or minus observable price changes in orderly transactions for an identical or similar investment of the same issuer.</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Other investments</w:t>
      </w:r>
      <w:r>
        <w:rPr>
          <w:color w:val="000000"/>
        </w:rPr>
        <w:t xml:space="preserve"> — </w:t>
      </w:r>
      <w:r>
        <w:rPr>
          <w:rFonts w:ascii="Times New Roman;serif" w:hAnsi="Times New Roman;serif"/>
          <w:b w:val="false"/>
          <w:color w:val="000000"/>
          <w:sz w:val="20"/>
        </w:rPr>
        <w:t>The Company accounts for its other investments at fair value in accordance with Financial Accounting Standards Board ("FASB") Accounting Standards Codification ("ASC")</w:t>
      </w:r>
      <w:r>
        <w:rPr>
          <w:color w:val="000000"/>
        </w:rPr>
        <w:t xml:space="preserve"> </w:t>
      </w:r>
      <w:r>
        <w:rPr>
          <w:rFonts w:ascii="Times New Roman;serif" w:hAnsi="Times New Roman;serif"/>
          <w:b w:val="false"/>
          <w:color w:val="000000"/>
          <w:sz w:val="20"/>
        </w:rPr>
        <w:t>ASC 321</w:t>
      </w:r>
      <w:r>
        <w:rPr>
          <w:rFonts w:ascii="Times New Roman;serif" w:hAnsi="Times New Roman;serif"/>
          <w:b w:val="false"/>
          <w:i/>
          <w:color w:val="000000"/>
          <w:sz w:val="20"/>
        </w:rPr>
        <w:t>, Investments – Equity Securities</w:t>
      </w:r>
      <w:r>
        <w:rPr>
          <w:color w:val="000000"/>
        </w:rPr>
        <w:t xml:space="preserve"> </w:t>
      </w:r>
      <w:r>
        <w:rPr>
          <w:rFonts w:ascii="Times New Roman;serif" w:hAnsi="Times New Roman;serif"/>
          <w:b w:val="false"/>
          <w:color w:val="000000"/>
          <w:sz w:val="20"/>
        </w:rPr>
        <w:t xml:space="preserve">("ASC 321"). Other investments are comprised of the following types of investments: </w:t>
      </w:r>
    </w:p>
    <w:p>
      <w:pPr>
        <w:pStyle w:val="TextBody"/>
        <w:bidi w:val="0"/>
        <w:spacing w:lineRule="auto" w:line="240" w:before="0" w:after="120"/>
        <w:ind w:left="0" w:right="0" w:hanging="90"/>
        <w:jc w:val="both"/>
        <w:rPr/>
      </w:pPr>
      <w:r>
        <w:rPr>
          <w:color w:val="000000"/>
          <w:shd w:fill="FFFFFF" w:val="clear"/>
        </w:rPr>
        <w:t>•</w:t>
      </w:r>
      <w:r>
        <w:rPr>
          <w:rFonts w:ascii="Times New Roman;serif" w:hAnsi="Times New Roman;serif"/>
          <w:b w:val="false"/>
          <w:color w:val="000000"/>
          <w:sz w:val="20"/>
        </w:rPr>
        <w:t xml:space="preserve">Privately held equity investments: </w:t>
      </w:r>
      <w:r>
        <w:rPr>
          <w:rFonts w:ascii="Times New Roman;serif" w:hAnsi="Times New Roman;serif"/>
          <w:b w:val="false"/>
          <w:color w:val="000000"/>
          <w:sz w:val="20"/>
          <w:shd w:fill="FFFFFF" w:val="clear"/>
        </w:rPr>
        <w:t xml:space="preserve">These are direct equity investments in common and preferred stock of privately held entities. The fair values are estimated using guideline public company data to determine a price-to-book ratio trading multiple which was applied to book values shown on the quarterly financial statements as well as recent private market transactions. These investments are also comprised of </w:t>
      </w:r>
      <w:r>
        <w:rPr>
          <w:rFonts w:ascii="Times New Roman;serif" w:hAnsi="Times New Roman;serif"/>
          <w:b w:val="false"/>
          <w:color w:val="000000"/>
          <w:sz w:val="20"/>
        </w:rPr>
        <w:t>investments in insurtech</w:t>
      </w:r>
      <w:r>
        <w:rPr>
          <w:color w:val="000000"/>
          <w:shd w:fill="FFFFFF" w:val="clear"/>
        </w:rPr>
        <w:t xml:space="preserve"> </w:t>
      </w:r>
      <w:r>
        <w:rPr>
          <w:rFonts w:ascii="Times New Roman;serif" w:hAnsi="Times New Roman;serif"/>
          <w:b w:val="false"/>
          <w:color w:val="000000"/>
          <w:sz w:val="20"/>
          <w:shd w:fill="FFFFFF" w:val="clear"/>
        </w:rPr>
        <w:t xml:space="preserve">and other insurance focused companies. The fair value of start-up insurance entities are determined using recent private market transactions where applicable. </w:t>
      </w:r>
      <w:r>
        <w:rPr>
          <w:rFonts w:ascii="Times New Roman;serif" w:hAnsi="Times New Roman;serif"/>
          <w:b w:val="false"/>
          <w:color w:val="000000"/>
          <w:sz w:val="20"/>
        </w:rPr>
        <w:t>Any changes in fair value are reported in net realized and unrealized gains (losses) and recognized in net earnings.</w:t>
      </w:r>
    </w:p>
    <w:p>
      <w:pPr>
        <w:pStyle w:val="TextBody"/>
        <w:bidi w:val="0"/>
        <w:spacing w:lineRule="auto" w:line="240" w:before="0" w:after="120"/>
        <w:ind w:left="0" w:right="0" w:hanging="90"/>
        <w:jc w:val="both"/>
        <w:rPr/>
      </w:pPr>
      <w:r>
        <w:rPr>
          <w:color w:val="000000"/>
          <w:shd w:fill="FFFFFF" w:val="clear"/>
        </w:rPr>
        <w:t>•</w:t>
      </w:r>
      <w:r>
        <w:rPr>
          <w:rFonts w:ascii="Times New Roman;serif" w:hAnsi="Times New Roman;serif"/>
          <w:b w:val="false"/>
          <w:color w:val="000000"/>
          <w:sz w:val="20"/>
          <w:shd w:fill="FFFFFF" w:val="clear"/>
        </w:rPr>
        <w:t xml:space="preserve">Private credit funds: These are privately held equity investments in limited partnerships or common stock of entities that lend money valued using the most recently available or quarterly net asset value ("NAV") statements as provided by the external fund manager or third-party administrator. </w:t>
      </w:r>
      <w:r>
        <w:rPr>
          <w:rFonts w:ascii="Times New Roman;serif" w:hAnsi="Times New Roman;serif"/>
          <w:b w:val="false"/>
          <w:color w:val="000000"/>
          <w:sz w:val="20"/>
        </w:rPr>
        <w:t>Any changes in fair value are reported in realized gains (losses) and recognized in net earnings.</w:t>
      </w:r>
    </w:p>
    <w:p>
      <w:pPr>
        <w:pStyle w:val="TextBody"/>
        <w:bidi w:val="0"/>
        <w:spacing w:lineRule="auto" w:line="240" w:before="0" w:after="120"/>
        <w:ind w:left="0" w:right="0" w:hanging="90"/>
        <w:jc w:val="both"/>
        <w:rPr/>
      </w:pPr>
      <w:r>
        <w:rPr>
          <w:color w:val="000000"/>
          <w:shd w:fill="FFFFFF" w:val="clear"/>
        </w:rPr>
        <w:t>•</w:t>
      </w:r>
      <w:r>
        <w:rPr>
          <w:rFonts w:ascii="Times New Roman;serif" w:hAnsi="Times New Roman;serif"/>
          <w:b w:val="false"/>
          <w:color w:val="000000"/>
          <w:sz w:val="20"/>
          <w:shd w:fill="FFFFFF" w:val="clear"/>
        </w:rPr>
        <w:t>Private equity funds: These are comprised of private equity funds,</w:t>
      </w:r>
      <w:r>
        <w:rPr>
          <w:color w:val="000000"/>
        </w:rPr>
        <w:t xml:space="preserve"> </w:t>
      </w:r>
      <w:r>
        <w:rPr>
          <w:rFonts w:ascii="Times New Roman;serif" w:hAnsi="Times New Roman;serif"/>
          <w:b w:val="false"/>
          <w:color w:val="000000"/>
          <w:sz w:val="20"/>
        </w:rPr>
        <w:t>private equity co-investments with sponsoring entities and investments in real estate limited partnerships and joint ventures</w:t>
      </w:r>
      <w:r>
        <w:rPr>
          <w:rFonts w:ascii="Times New Roman;serif" w:hAnsi="Times New Roman;serif"/>
          <w:b w:val="false"/>
          <w:color w:val="000000"/>
          <w:sz w:val="20"/>
          <w:shd w:fill="FFFFFF" w:val="clear"/>
        </w:rPr>
        <w:t xml:space="preserve">. The fair value is estimated based on the most recently available NAV as advised by the external fund manager or third-party administrator. </w:t>
      </w:r>
      <w:r>
        <w:rPr>
          <w:rFonts w:ascii="Times New Roman;serif" w:hAnsi="Times New Roman;serif"/>
          <w:b w:val="false"/>
          <w:color w:val="000000"/>
          <w:sz w:val="20"/>
        </w:rPr>
        <w:t>Any changes in fair value are reported in realized gains (losses) and recognized in net earnings.</w:t>
      </w:r>
    </w:p>
    <w:p>
      <w:pPr>
        <w:pStyle w:val="TextBody"/>
        <w:bidi w:val="0"/>
        <w:spacing w:lineRule="auto" w:line="240" w:before="0" w:after="120"/>
        <w:ind w:left="0" w:right="0" w:hanging="90"/>
        <w:jc w:val="both"/>
        <w:rPr/>
      </w:pPr>
      <w:r>
        <w:rPr>
          <w:color w:val="000000"/>
        </w:rPr>
        <w:t>•</w:t>
      </w:r>
      <w:r>
        <w:rPr>
          <w:rFonts w:ascii="Times New Roman;serif" w:hAnsi="Times New Roman;serif"/>
          <w:b w:val="false"/>
          <w:color w:val="000000"/>
          <w:sz w:val="20"/>
        </w:rPr>
        <w:t xml:space="preserve">Investments in direct lending entities: These investments are carried at their fair market value with any changes in fair value reported in realized gains (losses) during the period. </w:t>
      </w:r>
    </w:p>
    <w:p>
      <w:pPr>
        <w:pStyle w:val="TextBody"/>
        <w:bidi w:val="0"/>
        <w:spacing w:lineRule="auto" w:line="240" w:before="0" w:after="120"/>
        <w:ind w:left="0" w:right="0" w:hanging="90"/>
        <w:jc w:val="both"/>
        <w:rPr/>
      </w:pPr>
      <w:r>
        <w:rPr>
          <w:color w:val="000000"/>
        </w:rPr>
        <w:t>•</w:t>
      </w:r>
      <w:r>
        <w:rPr>
          <w:rFonts w:ascii="Times New Roman;serif" w:hAnsi="Times New Roman;serif"/>
          <w:b w:val="false"/>
          <w:color w:val="000000"/>
          <w:sz w:val="20"/>
        </w:rPr>
        <w:t xml:space="preserve">Equity method investments: The Company elected the fair value option for certain of its equity method investments, and these investments are reported at their fair values with any changes in fair value reported in realized and unrealized gains (losses) during the period. These are </w:t>
      </w:r>
      <w:r>
        <w:rPr>
          <w:rFonts w:ascii="Times New Roman;serif" w:hAnsi="Times New Roman;serif"/>
          <w:b w:val="false"/>
          <w:color w:val="000000"/>
          <w:sz w:val="20"/>
          <w:shd w:fill="FFFFFF" w:val="clear"/>
        </w:rPr>
        <w:t>included in Level 3 of the fair value hierarchy due to unobservable market data used for valuation.</w:t>
      </w:r>
    </w:p>
    <w:p>
      <w:pPr>
        <w:pStyle w:val="TextBody"/>
        <w:bidi w:val="0"/>
        <w:spacing w:before="0" w:after="120"/>
        <w:ind w:left="0" w:right="0" w:firstLine="270"/>
        <w:jc w:val="both"/>
        <w:rPr/>
      </w:pPr>
      <w:r>
        <w:rPr/>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2. Significant Accounting Policies (continued)</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The valuation of other investments is further described in </w:t>
      </w:r>
      <w:r>
        <w:rPr>
          <w:rFonts w:ascii="Times New Roman;serif" w:hAnsi="Times New Roman;serif"/>
          <w:b w:val="false"/>
          <w:i/>
          <w:color w:val="000000"/>
          <w:sz w:val="20"/>
        </w:rPr>
        <w:t>Note 5 — Fair Value Measurements</w:t>
      </w:r>
      <w:r>
        <w:rPr>
          <w:rFonts w:ascii="Times New Roman;serif" w:hAnsi="Times New Roman;serif"/>
          <w:b w:val="false"/>
          <w:color w:val="000000"/>
          <w:sz w:val="20"/>
        </w:rPr>
        <w:t>. Due to a lag in the valuations of certain funds reported by the investment managers, the Company may record changes in valuation with up to a three-month lag. The Company regularly reviews and discusses fund performance with the investment managers or sponsors to corroborate the reasonableness of the reported NAV and to assess whether any events have occurred within the lag period that would affect the valuation of the investments.</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 xml:space="preserve">Equity Method Investments </w:t>
      </w:r>
      <w:r>
        <w:rPr>
          <w:color w:val="000000"/>
        </w:rPr>
        <w:t xml:space="preserve">— </w:t>
      </w:r>
      <w:r>
        <w:rPr>
          <w:rFonts w:ascii="Times New Roman;serif" w:hAnsi="Times New Roman;serif"/>
          <w:b w:val="false"/>
          <w:color w:val="000000"/>
          <w:sz w:val="20"/>
        </w:rPr>
        <w:t>Investments in which the Company has significant influence over the operating and financial policies of the investee are classified as equity method investments and accounted for using the equity method of accounting. In applying the equity method of accounting, investments are initially recorded at cost and are subsequently adjusted based on the Company’s proportionate share of the investee's net income or loss, net of any contributions and distributions received. Adjustments are based on the most recent available financial information from the investee. Changes in the carrying value of equity method investments are recorded in net income (loss) as the interest in income (loss) of equity method investments. The Company records its share of the investee’s other comprehensive income ("OCI") activity based on its proportionate share of the investee's common stock or capital, and books any OCI activity directly to the equity method investments account, with the offset recorded to the Company's accumulated other comprehensive income ("AOCI").</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Fixed Maturity Investments</w:t>
      </w:r>
      <w:r>
        <w:rPr>
          <w:color w:val="000000"/>
        </w:rPr>
        <w:t> — </w:t>
      </w:r>
      <w:r>
        <w:rPr>
          <w:rFonts w:ascii="Times New Roman;serif" w:hAnsi="Times New Roman;serif"/>
          <w:b w:val="false"/>
          <w:color w:val="000000"/>
          <w:sz w:val="20"/>
        </w:rPr>
        <w:t xml:space="preserve">The Company classifies its fixed maturity investments as available-for-sale ("AFS"). The AFS portfolio is reported at fair value and any unrealized gains or losses are reported as a component of accumulated other comprehensive income ("AOCI") in shareholders' equity. The fair value of fixed maturity investments is generally determined from quotations received from third-party nationally recognized pricing services ("Pricing Service"), or when such prices are not available, by reference to broker or underwriter bid indications.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Purchases and sales of investments are recorded on a trade date basis. Realized gains or losses on investment sales are determined based on the first in first out cost method. Net investment income is recognized when earned and includes accrued interest and dividend income together with amortization of market premiums and discounts using the constant yield method, net of investment management fees.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U.S. government agency mortgage-backed securities ("Agency MBS") and any other holdings for which there is a prepayment risk, prepayment assumptions are evaluated and revised as necessary. Any changes required due to movements in effective yields and maturities are recognized on a prospective basis through yield adjustments.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 security is potentially impaired when its fair value falls below its amortized cost. The Company evaluates AFS securities for impairment when fair value is below amortized cost on a quarterly basis. If the Company intends to sell or will be required to sell the security before its anticipated recovery, the full amount of the impairment loss is charged to net income (loss) and included in net investment gains (losses). If the Company does not intend to sell or will not be required to sell the security before its anticipated recovery, an allowance for expected credit losses is established and the portion of the loss relating to credit factors is recorded in net income (loss). The non-credit impairment amount of the loss (which could be related to interest rates and/or market conditions) is recognized in other comprehensive income.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To estimate the allowance for expected credit losses for most of the AFS securities, the Company analyzes projected cash flows which are primarily driven by assumptions regarding loss severity, probability of default and projected recovery rates. The Company's determination of default and loss severity rates are based on credit rating, credit analysis and macroeconomic forecasts. Unrealized losses on securities issued or backed, either explicitly or implicitly by the U.S. government are not analyzed for credit losses. The Company has concluded that any possibility of a credit loss on these securities is highly unlikely due to the explicit U.S. government guarantee related to certain securities (e.g., Government National Mortgage Association issuances) and the implicit guarantee related to other securities that has been validated by past actions (e.g., U.S. government bailout of Federal National Mortgage Association and Federal Home Loan Mortgage Corporation during the 2008 credit crisis). Although these securities are not analyzed for credit losses, they are evaluated for impairment based on the Company's intention to sell and likely to sell requirement.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the Company's fixed maturity investment portfolio is a large component of its consolidated assets, any impairment of fixed maturity securities could be material to the Company's financial condition and results particularly during periods of dislocation in the financial markets. </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 xml:space="preserve">Fair Value Measurements </w:t>
      </w:r>
      <w:r>
        <w:rPr>
          <w:color w:val="000000"/>
        </w:rPr>
        <w:t xml:space="preserve">— </w:t>
      </w:r>
      <w:r>
        <w:rPr>
          <w:rFonts w:ascii="Times New Roman;serif" w:hAnsi="Times New Roman;serif"/>
          <w:b w:val="false"/>
          <w:color w:val="000000"/>
          <w:sz w:val="20"/>
        </w:rPr>
        <w:t xml:space="preserve">ASC Topic 820, </w:t>
      </w:r>
      <w:r>
        <w:rPr>
          <w:rFonts w:ascii="Times New Roman;serif" w:hAnsi="Times New Roman;serif"/>
          <w:b w:val="false"/>
          <w:i/>
          <w:color w:val="000000"/>
          <w:sz w:val="20"/>
        </w:rPr>
        <w:t>"Fair Value Measurements and Disclosures"</w:t>
      </w:r>
      <w:r>
        <w:rPr>
          <w:color w:val="000000"/>
        </w:rPr>
        <w:t xml:space="preserve"> </w:t>
      </w:r>
      <w:r>
        <w:rPr>
          <w:rFonts w:ascii="Times New Roman;serif" w:hAnsi="Times New Roman;serif"/>
          <w:b w:val="false"/>
          <w:color w:val="000000"/>
          <w:sz w:val="20"/>
        </w:rPr>
        <w:t xml:space="preserve">("ASC 820") defines fair value as the price that would be received upon the sale of an asset or paid to transfer a liability in an orderly transaction between open market participants at the measurement date. Additionally, ASC 820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w:t>
      </w:r>
    </w:p>
    <w:p>
      <w:pPr>
        <w:pStyle w:val="TextBody"/>
        <w:bidi w:val="0"/>
        <w:spacing w:lineRule="auto" w:line="240" w:before="0" w:after="120"/>
        <w:ind w:left="0" w:right="0" w:hanging="180"/>
        <w:jc w:val="both"/>
        <w:rPr/>
      </w:pPr>
      <w:r>
        <w:rPr>
          <w:color w:val="000000"/>
        </w:rPr>
        <w:t>•</w:t>
      </w:r>
      <w:r>
        <w:rPr>
          <w:rFonts w:ascii="Times New Roman;serif" w:hAnsi="Times New Roman;serif"/>
          <w:b w:val="false"/>
          <w:i/>
          <w:color w:val="000000"/>
          <w:sz w:val="20"/>
        </w:rPr>
        <w:t>Level 1</w:t>
      </w:r>
      <w:r>
        <w:rPr>
          <w:color w:val="000000"/>
        </w:rPr>
        <w:t> — </w:t>
      </w:r>
      <w:r>
        <w:rPr>
          <w:rFonts w:ascii="Times New Roman;serif" w:hAnsi="Times New Roman;serif"/>
          <w:b w:val="false"/>
          <w:color w:val="000000"/>
          <w:sz w:val="20"/>
        </w:rPr>
        <w:t xml:space="preserve">Valuations based on unadjusted quoted market prices for identical assets or liabilities that we have the ability to access. Because valuations are based on quoted prices that are readily and regularly available in an active market, valuation of these products does not entail a significant degree of judgment. Examples of assets and liabilities utilizing Level 1 inputs include: U.S. Treasury bonds; </w:t>
      </w:r>
    </w:p>
    <w:p>
      <w:pPr>
        <w:pStyle w:val="TextBody"/>
        <w:bidi w:val="0"/>
        <w:spacing w:lineRule="auto" w:line="240" w:before="0" w:after="120"/>
        <w:ind w:left="0" w:right="0" w:hanging="180"/>
        <w:jc w:val="both"/>
        <w:rPr/>
      </w:pPr>
      <w:r>
        <w:rPr>
          <w:color w:val="000000"/>
        </w:rPr>
        <w:t>•</w:t>
      </w:r>
      <w:r>
        <w:rPr>
          <w:rFonts w:ascii="Times New Roman;serif" w:hAnsi="Times New Roman;serif"/>
          <w:b w:val="false"/>
          <w:i/>
          <w:color w:val="000000"/>
          <w:sz w:val="20"/>
        </w:rPr>
        <w:t>Level 2</w:t>
      </w:r>
      <w:r>
        <w:rPr>
          <w:color w:val="000000"/>
        </w:rPr>
        <w:t> — </w:t>
      </w:r>
      <w:r>
        <w:rPr>
          <w:rFonts w:ascii="Times New Roman;serif" w:hAnsi="Times New Roman;serif"/>
          <w:b w:val="false"/>
          <w:color w:val="000000"/>
          <w:sz w:val="20"/>
        </w:rPr>
        <w:t xml:space="preserve">Valuations based on quoted prices for similar assets or liabilities in active markets, quoted prices for identical assets or liabilities in inactive markets, or valuations based on models where the significant inputs are observable (e.g. interest rates, yield curves, prepayment speeds, default rates, loss severity, etc.) or can be corroborated by observable market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ind w:left="0" w:right="0" w:firstLine="180"/>
        <w:jc w:val="both"/>
        <w:rPr>
          <w:rFonts w:ascii="Times New Roman;serif" w:hAnsi="Times New Roman;serif"/>
          <w:b/>
          <w:color w:val="000000"/>
          <w:sz w:val="20"/>
        </w:rPr>
      </w:pPr>
      <w:r>
        <w:rPr>
          <w:rFonts w:ascii="Times New Roman;serif" w:hAnsi="Times New Roman;serif"/>
          <w:b/>
          <w:color w:val="000000"/>
          <w:sz w:val="20"/>
        </w:rPr>
        <w:t>2. Significant Accounting Policies (continued)</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Examples of assets and liabilities utilizing Level 2 inputs include: U.S. government-sponsored agency securities; non-U.S. government and supranational obligations; commercial mortgage-backed securities ("CMBS"); collateralized loan obligations ("CLO"); corporate and municipal bonds; and</w:t>
      </w:r>
    </w:p>
    <w:p>
      <w:pPr>
        <w:pStyle w:val="TextBody"/>
        <w:bidi w:val="0"/>
        <w:spacing w:lineRule="auto" w:line="240" w:before="0" w:after="120"/>
        <w:ind w:left="0" w:right="0" w:hanging="180"/>
        <w:jc w:val="both"/>
        <w:rPr/>
      </w:pPr>
      <w:r>
        <w:rPr>
          <w:color w:val="000000"/>
        </w:rPr>
        <w:t>•</w:t>
      </w:r>
      <w:r>
        <w:rPr>
          <w:rFonts w:ascii="Times New Roman;serif" w:hAnsi="Times New Roman;serif"/>
          <w:b w:val="false"/>
          <w:i/>
          <w:color w:val="000000"/>
          <w:sz w:val="20"/>
        </w:rPr>
        <w:t>Level 3</w:t>
      </w:r>
      <w:r>
        <w:rPr>
          <w:color w:val="000000"/>
        </w:rPr>
        <w:t> — </w:t>
      </w:r>
      <w:r>
        <w:rPr>
          <w:rFonts w:ascii="Times New Roman;serif" w:hAnsi="Times New Roman;serif"/>
          <w:b w:val="false"/>
          <w:color w:val="000000"/>
          <w:sz w:val="20"/>
        </w:rPr>
        <w:t>Valuations based on models where significant inputs are not observable. The unobservable inputs reflect our own assumptions about assumptions that market participants would use, developed on the basis of the best information available in the particular circumstances. Examples of assets and liabilities utilizing Level 3 inputs include: an investment in preference shares of a start-up insurance producer.</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availability of observable inputs can vary and is affected by a wide variety of factors, including, for example, the type of financial instrument, whether the financial instrument is new and not yet established in the marketplace, and other characteristics particular to the applicable transaction. To the extent that valuation is based on models or inputs that are less observable or unobservable in the market, the determination of fair value requires significantly more judgment. Accordingly, the degree of judgment exercised by management in determining fair value is greatest for instruments categorized in the Level 3 hierarchy. The Company uses prices and inputs that are current as at the measurement date. In periods of market dislocation, the observability of prices and inputs may be reduced for many instruments. This condition could cause a financial instrument to be reclassified between hierarchy levels.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For investments that have quoted market prices in active markets, the Company uses the quoted market prices as fair value and includes these in the Level 1 hierarchy. The Company receives quoted market prices from a third party nationally recognized Pricing Service. When quoted market prices are unavailable, the Company utilizes the Pricing Service to determine an estimate of fair value. The fair value estimates are included in the Level 2 hierarchy. The Company will challenge any prices for its investments which are considered not to be representative of fair value. If quoted market prices and an estimate from the Pricing Service are unavailable, the Company produces an estimate of fair value based on dealer quotations for recent activity in positions with the same or similar characteristics to that investment being valued.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determines whether the fair value estimate is in the Level 2 or Level 3 hierarchy depending on the level of observable inputs available when estimating the fair value. The Company bases its estimates of fair values for assets on the bid price as it represents what a third party market participant would be willing to pay in an orderly transaction.</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ASC 825-10: </w:t>
      </w:r>
      <w:r>
        <w:rPr>
          <w:rFonts w:ascii="Times New Roman;serif" w:hAnsi="Times New Roman;serif"/>
          <w:b w:val="false"/>
          <w:i/>
          <w:color w:val="000000"/>
          <w:sz w:val="20"/>
        </w:rPr>
        <w:t>Financial Instruments</w:t>
      </w:r>
      <w:r>
        <w:rPr>
          <w:color w:val="000000"/>
        </w:rPr>
        <w:t xml:space="preserve"> </w:t>
      </w:r>
      <w:r>
        <w:rPr>
          <w:rFonts w:ascii="Times New Roman;serif" w:hAnsi="Times New Roman;serif"/>
          <w:b w:val="false"/>
          <w:color w:val="000000"/>
          <w:sz w:val="20"/>
        </w:rPr>
        <w:t xml:space="preserve">provides a measurement basis election for most financial instruments using a choice of either historical cost or fair value, including equity method investments, allowing reporting entities to mitigate potential mismatches that arise under the current mixed measurement attribute model. In connection with the Combination Agreement on May 27, 2025, the assets and liabilities of Maiden were recorded at their fair values measured as of the acquisition date. The Company has elected the fair value option for certain equity method investments and direct lending investments, and these investments are reported at their fair values as of September 30, 2025. Please see </w:t>
      </w:r>
      <w:r>
        <w:rPr>
          <w:rFonts w:ascii="Times New Roman;serif" w:hAnsi="Times New Roman;serif"/>
          <w:b w:val="false"/>
          <w:i/>
          <w:color w:val="000000"/>
          <w:sz w:val="20"/>
        </w:rPr>
        <w:t>Note 4 (b). Investments</w:t>
      </w:r>
      <w:r>
        <w:rPr>
          <w:color w:val="000000"/>
        </w:rPr>
        <w:t xml:space="preserve"> </w:t>
      </w:r>
      <w:r>
        <w:rPr>
          <w:rFonts w:ascii="Times New Roman;serif" w:hAnsi="Times New Roman;serif"/>
          <w:b w:val="false"/>
          <w:color w:val="000000"/>
          <w:sz w:val="20"/>
        </w:rPr>
        <w:t>for further details.</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Cash and Cash Equivalents</w:t>
      </w:r>
      <w:r>
        <w:rPr>
          <w:color w:val="000000"/>
        </w:rPr>
        <w:t> — </w:t>
      </w:r>
      <w:r>
        <w:rPr>
          <w:rFonts w:ascii="Times New Roman;serif" w:hAnsi="Times New Roman;serif"/>
          <w:b w:val="false"/>
          <w:color w:val="000000"/>
          <w:sz w:val="20"/>
        </w:rPr>
        <w:t>The Company maintains cash accounts in several banks and brokerage institutions. Cash equivalents consist of investments in money market funds and short-term investments with an original maturity of 90 days or less and are stated at cost, which approximates fair value. Restricted cash and cash equivalents are separately reported in the Consolidated Balance Sheets. The Company maintains certain cash and investments in trust accounts used primarily as collateral for unearned premiums and loss and LAE reserves owed to insureds. The Company is required to maintain minimum balances in these restricted accounts based on pre-determined formulas. Please see "</w:t>
      </w:r>
      <w:r>
        <w:rPr>
          <w:rFonts w:ascii="Times New Roman;serif" w:hAnsi="Times New Roman;serif"/>
          <w:b w:val="false"/>
          <w:i/>
          <w:color w:val="000000"/>
          <w:sz w:val="20"/>
        </w:rPr>
        <w:t>Note 4. (e) Investments</w:t>
      </w:r>
      <w:r>
        <w:rPr>
          <w:rFonts w:ascii="Times New Roman;serif" w:hAnsi="Times New Roman;serif"/>
          <w:b w:val="false"/>
          <w:color w:val="000000"/>
          <w:sz w:val="20"/>
        </w:rPr>
        <w:t>" for further details.</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Premiums and Related Expenses</w:t>
      </w:r>
      <w:r>
        <w:rPr>
          <w:color w:val="000000"/>
        </w:rPr>
        <w:t> — </w:t>
      </w:r>
      <w:r>
        <w:rPr>
          <w:rFonts w:ascii="Times New Roman;serif" w:hAnsi="Times New Roman;serif"/>
          <w:b w:val="false"/>
          <w:color w:val="000000"/>
          <w:sz w:val="20"/>
        </w:rPr>
        <w:t>For pro-rata contracts and excess-of-loss contracts where no deposit or minimum premium is specified in the contract, premium written is recognized based on estimates of ultimate premiums provided by the ceding companies. Initial estimates of premium written are recognized in the period in which the underlying risks are incepted. Subsequent adjustments, based on reports of actual premium by the ceding companies, or revisions in estimates, are recorded in the period in which they are determined. Reinsurance premiums assumed are generally earned on a pro-rata basis over the terms of the underlying policies or reinsurance contracts. Contracts and policies written on a "losses occurring" basis cover claims that may occur during the term of the contract or policy, which is typically twelve months. Accordingly, the premium is earned evenly over the term.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Reinsurance premiums on specialty risk and extended warranty are earned based on the estimated program coverage period. These estimates are based on the expected distribution of coverage periods by contract at inception, because a single contract may contain multiple coverage period options, and these estimates are revised based on the actual coverage period selected by the original insured. Unearned premiums represent the portion of premiums written which is applicable to the unexpired term of the contract or policy in force. These premiums can be subject to estimates based upon information received from ceding companies and any subsequent differences arising on such estimates are recorded in the period in which they are determined.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Assumed and ceded reinsurance contracts that lack a significant transfer of risk are treated as deposits. No deposit contracts are held as at September 30, 2025 and December 31, 2024.</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Acquisition expenses represent the costs of writing business that vary with, and are primarily related to, the production of that business. Policy and contract acquisition expenses, including assumed commissions, are deferred and recognized as expense as the related premiums are earned. The Company considers anticipated investment income in determining the recoverability of these costs and believes they are fully recoverable. A premium deficiency will be recognized if the sum of anticipated loss and LAE, unamortized acquisition expenses less anticipated investment income exceed unearned premiums.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2. Significant Accounting Policies (continued)</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Loss and LAE</w:t>
      </w:r>
      <w:r>
        <w:rPr>
          <w:color w:val="000000"/>
        </w:rPr>
        <w:t> — </w:t>
      </w:r>
      <w:r>
        <w:rPr>
          <w:rFonts w:ascii="Times New Roman;serif" w:hAnsi="Times New Roman;serif"/>
          <w:b w:val="false"/>
          <w:color w:val="000000"/>
          <w:sz w:val="20"/>
        </w:rPr>
        <w:t>Loss and LAE represent the estimated ultimate net costs of all reported and unreported losses incurred through December 31 of the latest fiscal year. The reserve for loss and LAE is estimated using a statistical analysis of actuarial data and is not discounted for the time value of money. Although considerable variability is inherent in the estimates of reserves for loss and LAE, management believes that the reserve for loss and LAE is adequate based on known information to date. In estimating loss reserves, the Company utilizes a variety of standard actuarial methods. These estimates are continually reviewed and adjusted as necessary as experience develops or new information becomes available. Such adjustments are included and reported in current operations as favorable or unfavorable prior period development.</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 xml:space="preserve">Reinsurance </w:t>
      </w:r>
      <w:r>
        <w:rPr>
          <w:color w:val="000000"/>
        </w:rPr>
        <w:t xml:space="preserve">— </w:t>
      </w:r>
      <w:r>
        <w:rPr>
          <w:rFonts w:ascii="Times New Roman;serif" w:hAnsi="Times New Roman;serif"/>
          <w:b w:val="false"/>
          <w:color w:val="000000"/>
          <w:sz w:val="20"/>
        </w:rPr>
        <w:t>Reinsurance premiums and loss and LAE ceded to other companies are accounted for on a basis consistent with those used in accounting for original policies issued and pursuant to the terms of the reinsurance contracts. The Company records premiums earned and loss and LAE incurred and ceded to other companies as reduction of premium revenue and loss and LAE, respectively. The unexpired portion of reinsurance purchased by the Company (retrocession or reinsurance premiums ceded) is included in other assets and amortized over the contract period in proportion to the amount of insurance protection provided. The ultimate amount of premiums, including adjustments, is recognized as premiums ceded and amortized over the applicable contract period to which they apply.</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Premiums earned are reported net of reinsurance in the Consolidated Statements of Income. Reinsurance recoverable on unpaid losses relate to the portion of reserves and paid losses and LAE that are ceded to other companies. Reinsurance recoverable on unpaid losses are separately recorded as an asset in the Consolidated Balance Sheets. The Company remains contingently liable for all loss payments in the event of failure to collect from reinsurers.</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Earn Out Liability</w:t>
      </w:r>
      <w:r>
        <w:rPr>
          <w:color w:val="000000"/>
        </w:rPr>
        <w:t xml:space="preserve"> — </w:t>
      </w:r>
      <w:r>
        <w:rPr>
          <w:rFonts w:ascii="Times New Roman;serif" w:hAnsi="Times New Roman;serif"/>
          <w:b w:val="false"/>
          <w:color w:val="000000"/>
          <w:sz w:val="20"/>
        </w:rPr>
        <w:t xml:space="preserve">The fair value of the earn out consideration contingent liability was determined through a probability-weighted analysis of the expected future cash flows and other applicable valuation techniques. Any changes in the fair value of the earn out liability are charged to net income (loss) during the period. Please see details for the earn out liability in </w:t>
      </w:r>
      <w:r>
        <w:rPr>
          <w:rFonts w:ascii="Times New Roman;serif" w:hAnsi="Times New Roman;serif"/>
          <w:b w:val="false"/>
          <w:i/>
          <w:color w:val="000000"/>
          <w:sz w:val="20"/>
        </w:rPr>
        <w:t>Note 11. Commitments and Contingencies</w:t>
      </w:r>
      <w:r>
        <w:rPr>
          <w:color w:val="000000"/>
        </w:rPr>
        <w:t xml:space="preserve"> </w:t>
      </w:r>
      <w:r>
        <w:rPr>
          <w:rFonts w:ascii="Times New Roman;serif" w:hAnsi="Times New Roman;serif"/>
          <w:b w:val="false"/>
          <w:color w:val="000000"/>
          <w:sz w:val="20"/>
        </w:rPr>
        <w:t>in the Notes to the Condensed Consolidated Financial Statements in this Form 10-Q.</w:t>
      </w:r>
    </w:p>
    <w:p>
      <w:pPr>
        <w:pStyle w:val="TextBody"/>
        <w:bidi w:val="0"/>
        <w:spacing w:lineRule="auto" w:line="244" w:before="0" w:after="120"/>
        <w:ind w:left="0" w:right="0" w:firstLine="270"/>
        <w:jc w:val="both"/>
        <w:rPr/>
      </w:pPr>
      <w:r>
        <w:rPr>
          <w:rFonts w:ascii="Times New Roman;serif" w:hAnsi="Times New Roman;serif"/>
          <w:b w:val="false"/>
          <w:i/>
          <w:color w:val="000000"/>
          <w:sz w:val="20"/>
        </w:rPr>
        <w:t xml:space="preserve">Intangible Assets </w:t>
      </w:r>
      <w:r>
        <w:rPr>
          <w:color w:val="000000"/>
        </w:rPr>
        <w:t xml:space="preserve">— </w:t>
      </w:r>
      <w:r>
        <w:rPr>
          <w:rFonts w:ascii="Times New Roman;serif" w:hAnsi="Times New Roman;serif"/>
          <w:b w:val="false"/>
          <w:color w:val="000000"/>
          <w:sz w:val="20"/>
        </w:rPr>
        <w:t>The fair value of intangible assets includes two components acquired as a result of the Combination:</w:t>
      </w:r>
    </w:p>
    <w:p>
      <w:pPr>
        <w:pStyle w:val="TextBody"/>
        <w:bidi w:val="0"/>
        <w:spacing w:lineRule="auto" w:line="244" w:before="0" w:after="120"/>
        <w:ind w:left="0" w:right="0" w:hanging="90"/>
        <w:jc w:val="both"/>
        <w:rPr/>
      </w:pPr>
      <w:r>
        <w:rPr>
          <w:color w:val="000000"/>
        </w:rPr>
        <w:t>•</w:t>
      </w:r>
      <w:r>
        <w:rPr>
          <w:rFonts w:ascii="Times New Roman;serif" w:hAnsi="Times New Roman;serif"/>
          <w:b w:val="false"/>
          <w:i/>
          <w:color w:val="000000"/>
          <w:sz w:val="20"/>
        </w:rPr>
        <w:t>Value of business acquired</w:t>
      </w:r>
      <w:r>
        <w:rPr>
          <w:color w:val="000000"/>
        </w:rPr>
        <w:t xml:space="preserve"> </w:t>
      </w:r>
      <w:r>
        <w:rPr>
          <w:rFonts w:ascii="Times New Roman;serif" w:hAnsi="Times New Roman;serif"/>
          <w:b w:val="false"/>
          <w:color w:val="000000"/>
          <w:sz w:val="20"/>
        </w:rPr>
        <w:t xml:space="preserve">("VOBA"): The value of business acquired replaced deferred acquisition costs in the fair value accounting required under ASC 805. The VOBA asset reflects the expected profit or loss embedded in the unearned premium carried at the closing date and will be amortized over the earning pattern of the unearned premium reserve. The fair value of VOBA was determined after taking into consideration certain key assumptions, including the estimated cost of capital, investment yield, loss ratio and related expenses. Please see details for the VOBA in </w:t>
      </w:r>
      <w:r>
        <w:rPr>
          <w:rFonts w:ascii="Times New Roman;serif" w:hAnsi="Times New Roman;serif"/>
          <w:b w:val="false"/>
          <w:i/>
          <w:color w:val="000000"/>
          <w:sz w:val="20"/>
        </w:rPr>
        <w:t>Note 15. Business Combination</w:t>
      </w:r>
      <w:r>
        <w:rPr>
          <w:color w:val="000000"/>
        </w:rPr>
        <w:t xml:space="preserve"> </w:t>
      </w:r>
      <w:r>
        <w:rPr>
          <w:rFonts w:ascii="Times New Roman;serif" w:hAnsi="Times New Roman;serif"/>
          <w:b w:val="false"/>
          <w:color w:val="000000"/>
          <w:sz w:val="20"/>
        </w:rPr>
        <w:t>in the Notes to the Condensed Consolidated Financial Statements in this Form 10-Q which is recorded as part of Intangible Assets on the Condensed Consolidated Balance Sheets.</w:t>
      </w:r>
    </w:p>
    <w:p>
      <w:pPr>
        <w:pStyle w:val="TextBody"/>
        <w:bidi w:val="0"/>
        <w:spacing w:lineRule="auto" w:line="244" w:before="0" w:after="120"/>
        <w:ind w:left="0" w:right="0" w:hanging="90"/>
        <w:jc w:val="both"/>
        <w:rPr/>
      </w:pPr>
      <w:r>
        <w:rPr>
          <w:color w:val="000000"/>
        </w:rPr>
        <w:t>•</w:t>
      </w:r>
      <w:r>
        <w:rPr>
          <w:rFonts w:ascii="Times New Roman;serif" w:hAnsi="Times New Roman;serif"/>
          <w:b w:val="false"/>
          <w:i/>
          <w:color w:val="000000"/>
          <w:sz w:val="20"/>
        </w:rPr>
        <w:t>Fair value adjustment to historical loss reserves and LAE and reinsurance recoverable on unpaid losses:</w:t>
      </w:r>
      <w:r>
        <w:rPr>
          <w:color w:val="000000"/>
        </w:rPr>
        <w:t xml:space="preserve"> </w:t>
      </w:r>
      <w:r>
        <w:rPr>
          <w:rFonts w:ascii="Times New Roman;serif" w:hAnsi="Times New Roman;serif"/>
          <w:b w:val="false"/>
          <w:color w:val="000000"/>
          <w:sz w:val="20"/>
        </w:rPr>
        <w:t xml:space="preserve">The adjustment to record the estimated fair value of the reserve for loss and loss adjustment expenses and reinsurance recoverable on unpaid losses that were acquired under the Combination. This amount reflects a decrease to adjust to the present value of loss and loss adjustment expenses and reinsurance recoverable based on estimated payout patterns, partially offset by an increase in net loss and loss adjustment expenses to the estimated market-based risk margin. The risk margin represents the estimated cost of capital required by a market participant to assume the net loss and loss adjustment expenses. The fair value of the net reserve for loss and loss adjustment expenses was determined using certain key assumptions, including the estimated cost of capital and investment yield. This is amortized based on the claims settlement and timing of reinsurance recovery payments. Please see details for the fair value discount on reserves and recoverables in </w:t>
      </w:r>
      <w:r>
        <w:rPr>
          <w:rFonts w:ascii="Times New Roman;serif" w:hAnsi="Times New Roman;serif"/>
          <w:b w:val="false"/>
          <w:i/>
          <w:color w:val="000000"/>
          <w:sz w:val="20"/>
        </w:rPr>
        <w:t>Note 15. Business Combination</w:t>
      </w:r>
      <w:r>
        <w:rPr>
          <w:color w:val="000000"/>
        </w:rPr>
        <w:t xml:space="preserve"> </w:t>
      </w:r>
      <w:r>
        <w:rPr>
          <w:rFonts w:ascii="Times New Roman;serif" w:hAnsi="Times New Roman;serif"/>
          <w:b w:val="false"/>
          <w:color w:val="000000"/>
          <w:sz w:val="20"/>
        </w:rPr>
        <w:t>in the Notes to the Condensed Consolidated Financial Statements in this Form 10-Q which is recorded as part of Intangible Assets on the Consolidated Balance Sheets.</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 xml:space="preserve">Retroactive Reinsurance - </w:t>
      </w:r>
      <w:r>
        <w:rPr>
          <w:rFonts w:ascii="Times New Roman;serif" w:hAnsi="Times New Roman;serif"/>
          <w:b w:val="false"/>
          <w:color w:val="000000"/>
          <w:sz w:val="20"/>
        </w:rPr>
        <w:t>Retroactive reinsurance agreements are those in which a reinsurer agrees to reimburse the ceding company for liabilities incurred as a result of past insurable loss events. The Company does not record any income or expense on recognition of the reinsurance contract's assets and liabilities at inception, except for any gains realized as a result of bargain purchase acquisitions which are recorded as part of foreign exchange and other gains (losses) immediately in income during the period it arises. Any subsequent remeasurement of the value of liabilities is recorded to net loss and LAE in the Condensed Consolidated Statements of Income.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a ceded retroactive agreement, the excess of the amounts ultimately collectible under the agreement over the consideration paid is recognized as a deferred gain liability which is amortized into income over the settlement period of the ceded reserves once the paid losses have exceeded the minimum retention. The amount of the deferral is recalculated each period based on actual loss payments and updated estimates of ultimate losses. If the consideration paid exceeds the ultimate losses collectible under the agreement, the net loss on the retroactive reinsurance agreement is recognized within income immediately.</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At the inception of a run-off retroactive reinsurance contract, if the estimated undiscounted ultimate losses payable are in excess of the premiums received, a deferred charge asset is recorded for the excess; whereas, if the premiums received are in excess of the estimated undiscounted ultimate losses payable, a deferred gain liability is recorded for the excess, such that we do not record any gain or loss at the inception of these retroactive reinsurance contracts. The premium consideration that we charge the ceding companies under retroactive reinsurance contracts may be lower than the undiscounted estimated ultimate losses payable due to the time value of money. After receiving the premium consideration in full from cedents at the inception of the contract, the premiums received are invested over an extended period of time, thereby generating investment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2. Significant Accounting Policies (continued)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expects to generate profits from these retroactive reinsurance contracts when taking into account the premium received and expected investment income, less contractual obligations and expenses.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Deferred charge assets will be recorded in other assets (if and when applicable), and any deferred gain liabilities will be shown separately in the Consolidated Balance Sheets, and amortized over the estimated claim payment period of the related contract with the periodic amortization reflected in income as a component of net loss and LAE. The amortization of deferred charge assets and deferred gain liabilities will be adjusted at each reporting period to reflect new estimates of the amount and timing of remaining loss and LAE payments. Changes in the estimated amount and timing of payments of unpaid losses may have an effect on the unamortized deferred charge assets and deferred gain liabilities and the amount of periodic amortization.</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Leases</w:t>
      </w:r>
      <w:r>
        <w:rPr>
          <w:color w:val="000000"/>
        </w:rPr>
        <w:t> — </w:t>
      </w:r>
      <w:r>
        <w:rPr>
          <w:rFonts w:ascii="Times New Roman;serif" w:hAnsi="Times New Roman;serif"/>
          <w:b w:val="false"/>
          <w:color w:val="000000"/>
          <w:sz w:val="20"/>
        </w:rPr>
        <w:t>The Company's leases are all classified as operating leases and none of them have non-lease components. For operating leases that have a lease term of more than twelve months, the Company recognized a lease liability (presented as part of accrued expenses and other liabilities) and a right-of-use asset (presented as part of other assets) in the Consolidated Balance Sheets at the present value of the remaining lease payments until expiration. As the lease contracts generally do not provide an implicit discount rate, the Company uses a weighted-average discount rate of 7.2%, representing its estimated secured incremental borrowing rate, in calculating the present value of the lease liability. The Company has made an accounting policy election not to include renewal, termination, or purchase options that are not reasonably certain of exercise when determining the term of the borrowing. The Company recognizes the related leasing expense on a straight-line basis over the effective lease term in the Company's Consolidated Statements of Income.</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Depreciable Fixed Assets -</w:t>
      </w:r>
      <w:r>
        <w:rPr>
          <w:color w:val="000000"/>
        </w:rPr>
        <w:t xml:space="preserve"> </w:t>
      </w:r>
      <w:r>
        <w:rPr>
          <w:rFonts w:ascii="Times New Roman;serif" w:hAnsi="Times New Roman;serif"/>
          <w:b w:val="false"/>
          <w:color w:val="000000"/>
          <w:sz w:val="20"/>
        </w:rPr>
        <w:t>The Company's depreciable fixed assets consist of furniture and equipment, computer hardware and software, including renewals and betterments, which are capitalized at their original cost, while maintenance and repairs are expensed on a current basis. Depreciation on furniture and equipment, computer hardware and software is computed using the straight-line method over the estimated useful life of the asset after provision for salvage value, if any. Leasehold improvements are capitalized and depreciated over the effective lease term or useful life, whichever is shorter, of the related leased assets.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Amortization of computer software and leasehold improvements and depreciation of furniture, equipment and computer hardware are included within general and administrative expenses on the consolidated statements of income. Upon retirement or other disposal of fixed assets, the cost and related accumulated depreciation are removed from the respective fixed asset accounts and any gains or losses are included in the consolidated statements of income.</w:t>
      </w:r>
    </w:p>
    <w:p>
      <w:pPr>
        <w:pStyle w:val="TextBody"/>
        <w:bidi w:val="0"/>
        <w:spacing w:lineRule="auto" w:line="240" w:before="0" w:after="120"/>
        <w:ind w:left="0" w:right="0" w:firstLine="270"/>
        <w:jc w:val="both"/>
        <w:rPr/>
      </w:pPr>
      <w:r>
        <w:rPr>
          <w:rFonts w:ascii="Times New Roman;serif" w:hAnsi="Times New Roman;serif"/>
          <w:b w:val="false"/>
          <w:i/>
          <w:color w:val="000000"/>
          <w:sz w:val="20"/>
          <w:shd w:fill="FFFFFF" w:val="clear"/>
        </w:rPr>
        <w:t xml:space="preserve">Derivative Instruments </w:t>
      </w:r>
      <w:r>
        <w:rPr>
          <w:color w:val="000000"/>
        </w:rPr>
        <w:t>—</w:t>
      </w:r>
      <w:r>
        <w:rPr>
          <w:color w:val="000000"/>
          <w:shd w:fill="FFFFFF" w:val="clear"/>
        </w:rPr>
        <w:t xml:space="preserve"> </w:t>
      </w:r>
      <w:r>
        <w:rPr>
          <w:rFonts w:ascii="Times New Roman;serif" w:hAnsi="Times New Roman;serif"/>
          <w:b w:val="false"/>
          <w:color w:val="000000"/>
          <w:sz w:val="20"/>
          <w:shd w:fill="FFFFFF" w:val="clear"/>
        </w:rPr>
        <w:t xml:space="preserve">The Company has certain reinsurance contracts that are accounted for as derivatives. These reinsurance contracts provide indemnification to an insured or cedant as a result of a change in a variable as opposed to an identifiable insurable event. The Company considers these contracts to be part of its underwriting operations. The derivatives are initially valued at cost which approximates fair value. In subsequent measurement periods, the fair values of the underwriting-related derivatives are determined using internally developed discounted cash flow models using appropriate discount rates. The selection of an appropriate discount rate is judgmental and is the most significant unobservable input used in the valuation of these derivatives. A significant increase (decrease) in this input in isolation could result in a significantly lower (higher) fair value measurement for the derivative contract. </w:t>
      </w:r>
      <w:r>
        <w:rPr>
          <w:rFonts w:ascii="Times New Roman;serif" w:hAnsi="Times New Roman;serif"/>
          <w:b w:val="false"/>
          <w:color w:val="000000"/>
          <w:sz w:val="20"/>
        </w:rPr>
        <w:t>The fair value changes in underwriting-related derivative instruments is included within other insurance (expense) revenue.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underwriting-related derivative liability is presented as part of accrued expenses and other liabilities in the Condensed Consolidated Balance Sheets and adjusted as a non-cash item in net cash flows from operating activities in the Condensed Consolidated Statement of Cash Flows.</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Income Taxes</w:t>
      </w:r>
      <w:r>
        <w:rPr>
          <w:color w:val="000000"/>
        </w:rPr>
        <w:t> — </w:t>
      </w:r>
      <w:r>
        <w:rPr>
          <w:rFonts w:ascii="Times New Roman;serif" w:hAnsi="Times New Roman;serif"/>
          <w:b w:val="false"/>
          <w:color w:val="000000"/>
          <w:sz w:val="20"/>
        </w:rPr>
        <w:t>The Company accounts for income taxes using ASC Topic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for subsidiaries operating in taxable jurisdictions. Deferred income taxes reflect the expected future tax consequences of temporary differences between the carrying amounts of assets and liabilities for financial reporting purposes and amounts used for income tax purposes. A valuation allowance is recorded if it is more likely than not that some or all of a deferred tax asset may not be realized. The Company considers future taxable income and feasible tax planning strategies in assessing the need for a valuation allowance.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the event the Company determines that it will not be able to realize all or part of its deferred income tax assets in the future, an adjustment to the deferred income tax assets would be charged to income in the period in which such determination is made. In addition, if the Company subsequently assesses that the valuation allowance is no longer needed, a benefit would be recorded to income in the period in which such determination is made. U.S. GAAP allows for the recognition of tax benefits of uncertain tax positions only where the position is more likely than not to be sustained assuming examination by tax authorities.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 liability is established for any tax benefit claimed in a tax return in excess of this threshold. Income tax related interest and penalties would be included as income tax expense. The Company has not recorded or accrued any interest or penalties during the periods ended September 30, 2025 and 2024.</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Share-Based Compensation Expense</w:t>
      </w:r>
      <w:r>
        <w:rPr>
          <w:color w:val="000000"/>
        </w:rPr>
        <w:t> — </w:t>
      </w:r>
      <w:r>
        <w:rPr>
          <w:rFonts w:ascii="Times New Roman;serif" w:hAnsi="Times New Roman;serif"/>
          <w:b w:val="false"/>
          <w:color w:val="000000"/>
          <w:sz w:val="20"/>
        </w:rPr>
        <w:t>Pursuant to the 2025 Equity Incentive Plan, the Company is authorized to issue restricted share awards and performance-based restricted shares, share options and other equity-based awards to its employees and directors. The Company recognizes the compensation expense for share options and restricted share grants based on the fair value of the award on the date of grant, over the requisite service vesting period. Forfeitures are accounted for if and when they occur. The estimated fair value of the grant is amortized ratably over its vesting period as a charge to compensation expense (as a component of general and administrative expenses) and an increase to additional paid-in capital in the Condensed Consolidated Shareholders’ Equity.</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2. Significant Accounting Policies (continued)</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Earnings Per Share</w:t>
      </w:r>
      <w:r>
        <w:rPr>
          <w:color w:val="000000"/>
        </w:rPr>
        <w:t> — </w:t>
      </w:r>
      <w:r>
        <w:rPr>
          <w:rFonts w:ascii="Times New Roman;serif" w:hAnsi="Times New Roman;serif"/>
          <w:b w:val="false"/>
          <w:color w:val="000000"/>
          <w:sz w:val="20"/>
        </w:rPr>
        <w:t xml:space="preserve">Basic earnings per share are computed based on the weighted-average number of common shares outstanding and exclude any dilutive effects of share options, and unvested restricted shares units. Dilutive earnings per share are computed using the weighted-average number of common shares outstanding during the period adjusted for the dilutive impact of share options. The two-class method is used to determine earnings per share based on dividends declared on common shares and participating securities (i.e. distributed earnings) and participation rights of participating securities in any undistributed earnings. Each unvested restricted share granted by the Company to certain employees and directors is considered a participating security and the two-class method is used to calculate net income attributable to common shareholders per common share – basic and diluted. However, any undistributed losses are not allocated to the participating securities. </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Treasury Shares</w:t>
      </w:r>
      <w:r>
        <w:rPr>
          <w:color w:val="000000"/>
        </w:rPr>
        <w:t> — </w:t>
      </w:r>
      <w:r>
        <w:rPr>
          <w:rFonts w:ascii="Times New Roman;serif" w:hAnsi="Times New Roman;serif"/>
          <w:b w:val="false"/>
          <w:color w:val="000000"/>
          <w:sz w:val="20"/>
        </w:rPr>
        <w:t>Treasury shares include common shares owned by Maiden Reinsurance which are eliminated for accounting and financial reporting purposes in the Company’s Consolidated Balance Sheet at September 30, 2025. Since treasury shares are not considered outstanding for share count purposes, the common shares held by Maiden Reinsurance are excluded from the average number of common shares outstanding for basic and diluted earnings per share.</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Foreign Currency Transactions</w:t>
      </w:r>
      <w:r>
        <w:rPr>
          <w:color w:val="000000"/>
        </w:rPr>
        <w:t> — </w:t>
      </w:r>
      <w:r>
        <w:rPr>
          <w:rFonts w:ascii="Times New Roman;serif" w:hAnsi="Times New Roman;serif"/>
          <w:b w:val="false"/>
          <w:color w:val="000000"/>
          <w:sz w:val="20"/>
        </w:rPr>
        <w:t>The functional currency of the Company and many of its subsidiaries is the U.S. dollar. For these companies, monetary assets and liabilities denominated in foreign currencies are translated at year-end exchange rates, with resulting foreign exchange gains and losses recognized in the Consolidated Statements of Income. Revenues and expenses in foreign currencies are converted at average exchange rates during the year. Monetary assets and liabilities include cash and cash equivalents, reinsurance balances receivable, reinsurance recoverable on unpaid losses, funds withheld receivable, reserve for loss and LAE and accrued expenses and other liabilities. Accounts that are classified as non-monetary such as unearned premiums are not revalued.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Assets and liabilities of foreign subsidiaries and divisions, whose functional currency is not the U.S. dollar, are translated at exchange rates at the end of the reporting period. Revenues and expenses of these entities are translated at average exchange rates during the reporting period. The effects of the foreign currency translation adjustment for foreign entities are included in AOCI. The amount of the cumulative translation adjustment at September 30, 2025 was $(1,620).</w:t>
      </w:r>
    </w:p>
    <w:p>
      <w:pPr>
        <w:pStyle w:val="TextBody"/>
        <w:bidi w:val="0"/>
        <w:spacing w:lineRule="auto" w:line="228" w:before="60" w:after="120"/>
        <w:jc w:val="both"/>
        <w:rPr>
          <w:rFonts w:ascii="Times New Roman;serif" w:hAnsi="Times New Roman;serif"/>
          <w:b/>
          <w:i/>
          <w:color w:val="000000"/>
          <w:sz w:val="20"/>
        </w:rPr>
      </w:pPr>
      <w:r>
        <w:rPr>
          <w:rFonts w:ascii="Times New Roman;serif" w:hAnsi="Times New Roman;serif"/>
          <w:b/>
          <w:i/>
          <w:color w:val="000000"/>
          <w:sz w:val="20"/>
        </w:rPr>
        <w:t>Revenue Recognition - Fee Revenue</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FASB ASC Topic 606, Revenue from Contracts with Customers, Kestrel recognizes revenue for each separately identifiable performance obligation in a contract representing a promise to transfer a distinct good or service to a customer. Revenue is measured as the amount of consideration Kestrel expects to receive in exchange for providing services to customers and is generally governed by a capacity distribution agreement as a specified percentage of the premium. </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Capacity distribution fees are collected from program managers or MGAs for the placement of an effective insurance policy on behalf of the Company's customer. These agreements may also include other provisions, such as minimum fee arrangements or cancellation provisions, which may impact revenue recognition. </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establishment and maintenance of an Authorized Program on behalf of our customer, as well as the resulting placement of effective insurance policies, are considered a single performance obligation. The customer obtains control over the services promised by the Company at the effective date of bound insurance coverage. The Company recognizes revenue when control of the promised services is transferred to the customer in the amount that best reflects the consideration to which the Company expects to be entitled in exchange for those services.</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Except for contractual arrangements with minimum annual fees, the effective date of bound insurance coverage is considered the point in time when Kestrel’s performance obligation is met. Control passes to the customer at the effective date of bound insurance coverage, at which point the customer has accepted the services. For contractual arrangements with minimum annual fees, Kestrel amortizes the minimum fee over the contract period.</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At September 30, 2025, the amount of contract assets was $1,605 which is included in Other Assets on the Company's condensed consolidated balance sheets (December 31, 2024 - $968). Please see </w:t>
      </w:r>
      <w:r>
        <w:rPr>
          <w:rFonts w:ascii="Times New Roman;serif" w:hAnsi="Times New Roman;serif"/>
          <w:b w:val="false"/>
          <w:i/>
          <w:color w:val="000000"/>
          <w:sz w:val="20"/>
        </w:rPr>
        <w:t>Note 3. Segment Information</w:t>
      </w:r>
      <w:r>
        <w:rPr>
          <w:color w:val="000000"/>
        </w:rPr>
        <w:t xml:space="preserve"> </w:t>
      </w:r>
      <w:r>
        <w:rPr>
          <w:rFonts w:ascii="Times New Roman;serif" w:hAnsi="Times New Roman;serif"/>
          <w:b w:val="false"/>
          <w:color w:val="000000"/>
          <w:sz w:val="20"/>
        </w:rPr>
        <w:t>for further details.</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Discontinued Operations</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Under the accounting guidance contained in Accounting Standards Codification Topic 205, a business that, upon acquisition, meets the held-for-sale criteria is not analyzed under the strategic shift test. Instead, it is reported in discontinued operations automatically based on its held-for-sale classification. The strategic shift test does not apply because the acquired businesses were not previously part of Kestrel Group, the acquiring entity, and are currently classified as held-for-sale on the acquisition date. Therefore, the unaudited condensed consolidated results of operations for the three and nine months ended September 30, 2025 exclude the non-insurance related operations of Maiden GF and Maiden LF because those businesses are not considered part of Kestrel’s continuing operations. Please refer to </w:t>
      </w:r>
      <w:r>
        <w:rPr>
          <w:rFonts w:ascii="Times New Roman;serif" w:hAnsi="Times New Roman;serif"/>
          <w:b w:val="false"/>
          <w:i/>
          <w:color w:val="000000"/>
          <w:sz w:val="20"/>
        </w:rPr>
        <w:t>Note 14. Assets Held for Sale</w:t>
      </w:r>
      <w:r>
        <w:rPr>
          <w:color w:val="000000"/>
        </w:rPr>
        <w:t xml:space="preserve"> </w:t>
      </w:r>
      <w:r>
        <w:rPr>
          <w:rFonts w:ascii="Times New Roman;serif" w:hAnsi="Times New Roman;serif"/>
          <w:b w:val="false"/>
          <w:color w:val="000000"/>
          <w:sz w:val="20"/>
        </w:rPr>
        <w:t>for further information on the discontinued operations related to Maiden GF and Maiden LF.</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Effective January 1, 2025, the Company adopted Accounting Standard Updates ("ASU") 2021-08, </w:t>
      </w:r>
      <w:r>
        <w:rPr>
          <w:rFonts w:ascii="Times New Roman;serif" w:hAnsi="Times New Roman;serif"/>
          <w:b w:val="false"/>
          <w:i/>
          <w:color w:val="000000"/>
          <w:sz w:val="20"/>
        </w:rPr>
        <w:t>Business Combinations (Topic 805)</w:t>
      </w:r>
      <w:r>
        <w:rPr>
          <w:rFonts w:ascii="Times New Roman;serif" w:hAnsi="Times New Roman;serif"/>
          <w:b w:val="false"/>
          <w:color w:val="000000"/>
          <w:sz w:val="20"/>
        </w:rPr>
        <w:t>, Accounting for Contract Assets and Contract Liabilities from Contracts with Customers (“ASU 2021-08”), which requires contract assets and contract liabilities (i.e., deferred revenue) acquired in a business combination to be recognized and measured by the acquirer on the acquisition date. Generally, this guidance will result in the accounting acquirer recognizing contract assets and contract liabilities at the same amounts recorded by the accounting acquiree. With adoption of ASU 2021-08, the Company did not acquire any contract liabilities under Topic 606.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28" w:before="60" w:after="120"/>
        <w:jc w:val="both"/>
        <w:rPr>
          <w:rFonts w:ascii="Times New Roman;serif" w:hAnsi="Times New Roman;serif"/>
          <w:b/>
          <w:color w:val="000000"/>
          <w:sz w:val="20"/>
        </w:rPr>
      </w:pPr>
      <w:r>
        <w:rPr>
          <w:rFonts w:ascii="Times New Roman;serif" w:hAnsi="Times New Roman;serif"/>
          <w:b/>
          <w:color w:val="000000"/>
          <w:sz w:val="20"/>
        </w:rPr>
        <w:t>2. Significant Accounting Policies (continued)</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Recently Issued Accounting Standards Not Yet Adopted</w:t>
      </w:r>
    </w:p>
    <w:p>
      <w:pPr>
        <w:pStyle w:val="TextBody"/>
        <w:bidi w:val="0"/>
        <w:spacing w:lineRule="auto" w:line="240" w:before="0" w:after="120"/>
        <w:jc w:val="both"/>
        <w:rPr>
          <w:rFonts w:ascii="Times New Roman;serif" w:hAnsi="Times New Roman;serif"/>
          <w:b w:val="false"/>
          <w:i/>
          <w:color w:val="000000"/>
          <w:sz w:val="20"/>
        </w:rPr>
      </w:pPr>
      <w:r>
        <w:rPr>
          <w:rFonts w:ascii="Times New Roman;serif" w:hAnsi="Times New Roman;serif"/>
          <w:b w:val="false"/>
          <w:i/>
          <w:color w:val="000000"/>
          <w:sz w:val="20"/>
        </w:rPr>
        <w:t>Improvements to Income Tax Disclosures</w:t>
      </w:r>
    </w:p>
    <w:p>
      <w:pPr>
        <w:pStyle w:val="TextBody"/>
        <w:bidi w:val="0"/>
        <w:spacing w:lineRule="auto" w:line="244" w:before="0" w:after="120"/>
        <w:ind w:left="0" w:right="0" w:firstLine="270"/>
        <w:jc w:val="both"/>
        <w:rPr/>
      </w:pPr>
      <w:r>
        <w:rPr>
          <w:rFonts w:ascii="Times New Roman;serif" w:hAnsi="Times New Roman;serif"/>
          <w:b w:val="false"/>
          <w:color w:val="000000"/>
          <w:sz w:val="20"/>
        </w:rPr>
        <w:t xml:space="preserve">In December 2023, FASB issued ASU 2023-09 </w:t>
      </w:r>
      <w:r>
        <w:rPr>
          <w:rFonts w:ascii="Times New Roman;serif" w:hAnsi="Times New Roman;serif"/>
          <w:b w:val="false"/>
          <w:i/>
          <w:color w:val="000000"/>
          <w:sz w:val="20"/>
        </w:rPr>
        <w:t>"Improvements to Income Tax Disclosures"</w:t>
      </w:r>
      <w:r>
        <w:rPr>
          <w:color w:val="000000"/>
        </w:rPr>
        <w:t xml:space="preserve"> </w:t>
      </w:r>
      <w:r>
        <w:rPr>
          <w:rFonts w:ascii="Times New Roman;serif" w:hAnsi="Times New Roman;serif"/>
          <w:b w:val="false"/>
          <w:color w:val="000000"/>
          <w:sz w:val="20"/>
        </w:rPr>
        <w:t>an amendment of Income Taxes (Topic 740). The amendments in this ASU require the Company to provide disclosures on an annual basis that (1) disclose specific categories in the rate reconciliation and (2) provide additional information for reconciling items that meet a quantitative threshold. The amendments in this Update also require that the Company disclose on an annual basis the amount of income taxes paid (net of refunds received) disaggregated by federal (national), state, and foreign taxes, and the amount of income taxes paid disaggregated by individual jurisdictions in which income taxes paid is equal to or greater than five percent of total income taxes paid (net of refunds received). Finally, the amendments in this Update require that all entities disclose the income (or loss) from continuing operations before income tax expense (or benefit) disaggregated between domestic and foreign; and income tax expense (or benefit) from continuing operations disaggregated by federal (national), state, and foreign. For public business entities, the amendments in this Update are effective for annual periods beginning after December 15, 2024. The Company is still evaluating the guidance provided by this Update, however, it is not anticipated to have any material impact on its current annual tax disclosures.</w:t>
      </w:r>
    </w:p>
    <w:p>
      <w:pPr>
        <w:pStyle w:val="TextBody"/>
        <w:bidi w:val="0"/>
        <w:spacing w:lineRule="auto" w:line="240" w:before="0" w:after="120"/>
        <w:jc w:val="both"/>
        <w:rPr>
          <w:rFonts w:ascii="Times New Roman;serif" w:hAnsi="Times New Roman;serif"/>
          <w:b w:val="false"/>
          <w:i/>
          <w:color w:val="000000"/>
          <w:sz w:val="20"/>
        </w:rPr>
      </w:pPr>
      <w:r>
        <w:rPr>
          <w:rFonts w:ascii="Times New Roman;serif" w:hAnsi="Times New Roman;serif"/>
          <w:b w:val="false"/>
          <w:i/>
          <w:color w:val="000000"/>
          <w:sz w:val="20"/>
        </w:rPr>
        <w:t>Expense Disaggregation Disclosures</w:t>
      </w:r>
    </w:p>
    <w:p>
      <w:pPr>
        <w:pStyle w:val="TextBody"/>
        <w:bidi w:val="0"/>
        <w:spacing w:lineRule="auto" w:line="244" w:before="0" w:after="120"/>
        <w:ind w:left="0" w:right="0" w:firstLine="270"/>
        <w:jc w:val="both"/>
        <w:rPr/>
      </w:pPr>
      <w:r>
        <w:rPr>
          <w:rFonts w:ascii="Times New Roman;serif" w:hAnsi="Times New Roman;serif"/>
          <w:b w:val="false"/>
          <w:color w:val="000000"/>
          <w:sz w:val="20"/>
        </w:rPr>
        <w:t xml:space="preserve">In November 2024, FASB issued ASU 2024-03 </w:t>
      </w:r>
      <w:r>
        <w:rPr>
          <w:rFonts w:ascii="Times New Roman;serif" w:hAnsi="Times New Roman;serif"/>
          <w:b w:val="false"/>
          <w:i/>
          <w:color w:val="000000"/>
          <w:sz w:val="20"/>
        </w:rPr>
        <w:t>"Expense Disaggregation Disclosures"</w:t>
      </w:r>
      <w:r>
        <w:rPr>
          <w:color w:val="000000"/>
        </w:rPr>
        <w:t xml:space="preserve"> </w:t>
      </w:r>
      <w:r>
        <w:rPr>
          <w:rFonts w:ascii="Times New Roman;serif" w:hAnsi="Times New Roman;serif"/>
          <w:b w:val="false"/>
          <w:color w:val="000000"/>
          <w:sz w:val="20"/>
        </w:rPr>
        <w:t xml:space="preserve">an amendment of Income Statement - Reporting Comprehensive Income (Subtopic 220-40). The amendments in this Update improve financial reporting by requiring that public business entities disclose additional information about specific expense categories in the notes to financial statements at interim and annual reporting periods which is generally not presented in today's income statements. In particular, all public companies must disclose the amounts of (a) purchases of inventory, (b) employee compensation, (c) depreciation, and (d) intangible asset amortization that is included in each relevant expense caption. </w:t>
      </w:r>
    </w:p>
    <w:p>
      <w:pPr>
        <w:pStyle w:val="TextBody"/>
        <w:bidi w:val="0"/>
        <w:spacing w:lineRule="auto" w:line="244"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amendments in this Update are effective for annual reporting periods beginning after December 15, 2026, and interim reporting periods beginning after December 15, 2027. Early adoption is permitted. The amendments in this Update should be applied either (1) prospectively to financial statements issued for reporting periods after the effective date of this Update or (2) retrospectively to any or all prior periods presented in the financial statements. The Company does not plan to early adopt ASU 2024-03 and will provide the required expense disclosures on a prospective basis. At this time, the Company anticipates that further expense information on employee compensation will be the primary requirement under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00" w:after="120"/>
        <w:jc w:val="left"/>
        <w:rPr>
          <w:rFonts w:ascii="Times New Roman;serif" w:hAnsi="Times New Roman;serif"/>
          <w:b/>
          <w:color w:val="000000"/>
          <w:sz w:val="20"/>
        </w:rPr>
      </w:pPr>
      <w:r>
        <w:rPr>
          <w:rFonts w:ascii="Times New Roman;serif" w:hAnsi="Times New Roman;serif"/>
          <w:b/>
          <w:color w:val="000000"/>
          <w:sz w:val="20"/>
        </w:rPr>
        <w:t xml:space="preserve">3. Segment Information </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the Company's recently completed Combination, Kestrel has two reportable segments: Program Services segment and the Legacy Reinsurance segment. Our Program Services reportable segment consists of a cohesive suite of fronting services that are integrated and interdependent. This revenue stream is highly concentrated due to capacity distribution agreements with an individual customer. Capacity distribution fees are collected from program managers or MGAs for providing support services and granting contractual access to our insurance carrier network and are considered a single performance obligation. Support services provided for these insurance and reinsurance brokerage arrangements include compliance and regulatory reporting and administrative support which culminate in the placement of bound insurance coverage. Kestrel considers these arrangements a single revenue stream. </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Our Legacy Reinsurance reportable segment consists of the AmTrust Reinsurance and Diversified Reinsurance segments previously reported by Maiden prior to the Combination with Kestrel. The AmTrust portion of this reportable segment includes all business ceded to Maiden Reinsurance by AmTrust, primarily the quota share reinsurance agreement (“AmTrust Quota Share”) between Maiden Reinsurance and AmTrust’s wholly owned subsidiary, AmTrust International Insurance, Ltd. (“AII”) and the European hospital liability quota share reinsurance contract ("European Hospital Liability Quota Share") with AmTrust’s wholly owned subsidiaries, AmTrust Europe Limited ("AEL") and AmTrust International Underwriters DAC ("AIU DAC"), which are both in run-off effective January 1, 2019. Please refer to </w:t>
      </w:r>
      <w:r>
        <w:rPr>
          <w:rFonts w:ascii="Times New Roman;serif" w:hAnsi="Times New Roman;serif"/>
          <w:b w:val="false"/>
          <w:i/>
          <w:color w:val="000000"/>
          <w:sz w:val="20"/>
        </w:rPr>
        <w:t>Note 10. Related Party Transactions</w:t>
      </w:r>
      <w:r>
        <w:rPr>
          <w:color w:val="000000"/>
        </w:rPr>
        <w:t xml:space="preserve"> </w:t>
      </w:r>
      <w:r>
        <w:rPr>
          <w:rFonts w:ascii="Times New Roman;serif" w:hAnsi="Times New Roman;serif"/>
          <w:b w:val="false"/>
          <w:color w:val="000000"/>
          <w:sz w:val="20"/>
        </w:rPr>
        <w:t xml:space="preserve">for additional information regarding these agreements. The Diversified portion of this reportable segment consists of a run-off portfolio of predominantly third-party property and casualty reinsurance business focusing on regional and specialty property and casualty insurance companies located primarily in Europe, as well as business produced by Maiden LF and Maiden GF along with transactions entered into by GLS as described in </w:t>
      </w:r>
      <w:r>
        <w:rPr>
          <w:rFonts w:ascii="Times New Roman;serif" w:hAnsi="Times New Roman;serif"/>
          <w:b w:val="false"/>
          <w:i/>
          <w:color w:val="000000"/>
          <w:sz w:val="20"/>
        </w:rPr>
        <w:t xml:space="preserve">Note 1. Basis of Presentation </w:t>
      </w:r>
      <w:r>
        <w:rPr>
          <w:rFonts w:ascii="Times New Roman;serif" w:hAnsi="Times New Roman;serif"/>
          <w:b w:val="false"/>
          <w:color w:val="000000"/>
          <w:sz w:val="20"/>
        </w:rPr>
        <w:t xml:space="preserve">under </w:t>
      </w:r>
      <w:r>
        <w:rPr>
          <w:rFonts w:ascii="Times New Roman;serif" w:hAnsi="Times New Roman;serif"/>
          <w:b w:val="false"/>
          <w:i/>
          <w:color w:val="000000"/>
          <w:sz w:val="20"/>
        </w:rPr>
        <w:t>Maiden Legacy Operations.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segment performance based on segment profit separately from results of our investment portfolio. Underwriting and fee income or loss is calculated as net premiums earned plus other insurance revenue less net loss and LAE, commission and other acquisition expenses. General and administrative expenses are allocated to the segments on an actual basis except salaries and benefits where management’s judgment is applied; however, general corporate expenses are not allocated to the reportable segments. In determining total assets by reportable segment, the Company identifies those assets that are attributable to a particular segment such as reinsurance balances receivable, reinsurance recoverable on unpaid losses, funds withheld receivable, net loan receivable from related party, intangible assets and restricted cash and investments. All remaining assets are allocated to Corporate.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Kestrel’s chief operating decision maker ("CODM") is the Company's Chief Executive Officer, for both the Program Services segment and the Legacy Reinsurance segment. The significant segment expenses as reported in the computation of underwriting results in the tables below are used by the Company's CODM in assessing segment performance on a quarterly basis and supports their decision on how to allocate resources within the Company.</w:t>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3. Segment Information (continued)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underwriting results of our reportable segments and the reconciliation of our reportable segments' underwriting results to consolidated net loss from continuing operations for the three months ended September 30, 2025 and 2024, respectively: </w:t>
      </w:r>
    </w:p>
    <w:tbl>
      <w:tblPr>
        <w:tblW w:w="10205" w:type="dxa"/>
        <w:jc w:val="center"/>
        <w:tblInd w:w="0" w:type="dxa"/>
        <w:tblLayout w:type="fixed"/>
        <w:tblCellMar>
          <w:top w:w="28" w:type="dxa"/>
          <w:left w:w="28" w:type="dxa"/>
          <w:bottom w:w="28" w:type="dxa"/>
          <w:right w:w="28" w:type="dxa"/>
        </w:tblCellMar>
      </w:tblPr>
      <w:tblGrid>
        <w:gridCol w:w="1866"/>
        <w:gridCol w:w="1579"/>
        <w:gridCol w:w="1584"/>
        <w:gridCol w:w="109"/>
        <w:gridCol w:w="109"/>
        <w:gridCol w:w="109"/>
        <w:gridCol w:w="109"/>
        <w:gridCol w:w="109"/>
        <w:gridCol w:w="109"/>
        <w:gridCol w:w="109"/>
        <w:gridCol w:w="301"/>
        <w:gridCol w:w="985"/>
        <w:gridCol w:w="156"/>
        <w:gridCol w:w="109"/>
        <w:gridCol w:w="109"/>
        <w:gridCol w:w="109"/>
        <w:gridCol w:w="340"/>
        <w:gridCol w:w="753"/>
        <w:gridCol w:w="175"/>
        <w:gridCol w:w="109"/>
        <w:gridCol w:w="109"/>
        <w:gridCol w:w="109"/>
        <w:gridCol w:w="211"/>
        <w:gridCol w:w="678"/>
        <w:gridCol w:w="160"/>
      </w:tblGrid>
      <w:tr>
        <w:trPr/>
        <w:tc>
          <w:tcPr>
            <w:tcW w:w="1866"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Legacy Reinsurance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Program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029"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3,760 </w:t>
            </w:r>
          </w:p>
        </w:tc>
        <w:tc>
          <w:tcPr>
            <w:tcW w:w="15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3,760 </w:t>
            </w:r>
          </w:p>
        </w:tc>
        <w:tc>
          <w:tcPr>
            <w:tcW w:w="16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6,836 </w:t>
            </w:r>
          </w:p>
        </w:tc>
        <w:tc>
          <w:tcPr>
            <w:tcW w:w="15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6,836 </w:t>
            </w:r>
          </w:p>
        </w:tc>
        <w:tc>
          <w:tcPr>
            <w:tcW w:w="16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0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(10,406)</w:t>
            </w:r>
          </w:p>
        </w:tc>
        <w:tc>
          <w:tcPr>
            <w:tcW w:w="15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(10,406)</w:t>
            </w:r>
          </w:p>
        </w:tc>
        <w:tc>
          <w:tcPr>
            <w:tcW w:w="16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w:t>
            </w:r>
          </w:p>
        </w:tc>
        <w:tc>
          <w:tcPr>
            <w:tcW w:w="15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17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w:t>
            </w:r>
          </w:p>
        </w:tc>
        <w:tc>
          <w:tcPr>
            <w:tcW w:w="16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Underwriting (loss) and fee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i/>
                <w:color w:val="000000"/>
                <w:sz w:val="20"/>
              </w:rPr>
            </w:pPr>
            <w:r>
              <w:rPr>
                <w:rFonts w:ascii="Times New Roman;serif" w:hAnsi="Times New Roman;serif"/>
                <w:b/>
                <w:i/>
                <w:color w:val="000000"/>
                <w:sz w:val="20"/>
              </w:rPr>
              <w:t>Reconciliation to net loss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income and net realized and unrealized investment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02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and amortization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w:t>
            </w:r>
          </w:p>
        </w:tc>
        <w:tc>
          <w:tcPr>
            <w:tcW w:w="160"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 out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02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2,854 </w:t>
            </w:r>
          </w:p>
        </w:tc>
        <w:tc>
          <w:tcPr>
            <w:tcW w:w="16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in loss of 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w:t>
            </w:r>
          </w:p>
        </w:tc>
        <w:tc>
          <w:tcPr>
            <w:tcW w:w="16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0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0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0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0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0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both"/>
        <w:rPr/>
      </w:pPr>
      <w:r>
        <w:rPr/>
      </w:r>
    </w:p>
    <w:tbl>
      <w:tblPr>
        <w:tblW w:w="9805" w:type="dxa"/>
        <w:jc w:val="center"/>
        <w:tblInd w:w="0" w:type="dxa"/>
        <w:tblLayout w:type="fixed"/>
        <w:tblCellMar>
          <w:top w:w="28" w:type="dxa"/>
          <w:left w:w="28" w:type="dxa"/>
          <w:bottom w:w="28" w:type="dxa"/>
          <w:right w:w="28" w:type="dxa"/>
        </w:tblCellMar>
      </w:tblPr>
      <w:tblGrid>
        <w:gridCol w:w="1642"/>
        <w:gridCol w:w="1441"/>
        <w:gridCol w:w="1446"/>
        <w:gridCol w:w="109"/>
        <w:gridCol w:w="109"/>
        <w:gridCol w:w="109"/>
        <w:gridCol w:w="109"/>
        <w:gridCol w:w="109"/>
        <w:gridCol w:w="109"/>
        <w:gridCol w:w="109"/>
        <w:gridCol w:w="453"/>
        <w:gridCol w:w="872"/>
        <w:gridCol w:w="234"/>
        <w:gridCol w:w="109"/>
        <w:gridCol w:w="109"/>
        <w:gridCol w:w="109"/>
        <w:gridCol w:w="374"/>
        <w:gridCol w:w="827"/>
        <w:gridCol w:w="193"/>
        <w:gridCol w:w="109"/>
        <w:gridCol w:w="109"/>
        <w:gridCol w:w="109"/>
        <w:gridCol w:w="211"/>
        <w:gridCol w:w="541"/>
        <w:gridCol w:w="154"/>
      </w:tblGrid>
      <w:tr>
        <w:trPr/>
        <w:tc>
          <w:tcPr>
            <w:tcW w:w="1642"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Legacy Reinsurance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Program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9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Fee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9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i/>
                <w:color w:val="000000"/>
                <w:sz w:val="20"/>
              </w:rPr>
            </w:pPr>
            <w:r>
              <w:rPr>
                <w:rFonts w:ascii="Times New Roman;serif" w:hAnsi="Times New Roman;serif"/>
                <w:b/>
                <w:i/>
                <w:color w:val="000000"/>
                <w:sz w:val="20"/>
              </w:rPr>
              <w:t>Reconciliation to net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investment income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from continuing operations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5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3. Segment Information (continued)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underwriting results of our reportable segments and the reconciliation of our reportable segments' underwriting results to consolidated net income (loss) from continuing operations for the nine months ended September 30, 2025 and 2024, respectively:</w:t>
      </w:r>
    </w:p>
    <w:tbl>
      <w:tblPr>
        <w:tblW w:w="10205" w:type="dxa"/>
        <w:jc w:val="center"/>
        <w:tblInd w:w="0" w:type="dxa"/>
        <w:tblLayout w:type="fixed"/>
        <w:tblCellMar>
          <w:top w:w="28" w:type="dxa"/>
          <w:left w:w="28" w:type="dxa"/>
          <w:bottom w:w="28" w:type="dxa"/>
          <w:right w:w="28" w:type="dxa"/>
        </w:tblCellMar>
      </w:tblPr>
      <w:tblGrid>
        <w:gridCol w:w="1828"/>
        <w:gridCol w:w="1540"/>
        <w:gridCol w:w="1546"/>
        <w:gridCol w:w="109"/>
        <w:gridCol w:w="109"/>
        <w:gridCol w:w="109"/>
        <w:gridCol w:w="109"/>
        <w:gridCol w:w="109"/>
        <w:gridCol w:w="109"/>
        <w:gridCol w:w="109"/>
        <w:gridCol w:w="335"/>
        <w:gridCol w:w="1021"/>
        <w:gridCol w:w="174"/>
        <w:gridCol w:w="109"/>
        <w:gridCol w:w="109"/>
        <w:gridCol w:w="109"/>
        <w:gridCol w:w="337"/>
        <w:gridCol w:w="745"/>
        <w:gridCol w:w="173"/>
        <w:gridCol w:w="109"/>
        <w:gridCol w:w="109"/>
        <w:gridCol w:w="109"/>
        <w:gridCol w:w="211"/>
        <w:gridCol w:w="721"/>
        <w:gridCol w:w="157"/>
      </w:tblGrid>
      <w:tr>
        <w:trPr/>
        <w:tc>
          <w:tcPr>
            <w:tcW w:w="1828"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Legacy Reinsurance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Program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91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4,856 </w:t>
            </w:r>
          </w:p>
        </w:tc>
        <w:tc>
          <w:tcPr>
            <w:tcW w:w="17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4,856 </w:t>
            </w:r>
          </w:p>
        </w:tc>
        <w:tc>
          <w:tcPr>
            <w:tcW w:w="15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9,258 </w:t>
            </w:r>
          </w:p>
        </w:tc>
        <w:tc>
          <w:tcPr>
            <w:tcW w:w="17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9,258 </w:t>
            </w:r>
          </w:p>
        </w:tc>
        <w:tc>
          <w:tcPr>
            <w:tcW w:w="15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w:t>
            </w:r>
          </w:p>
        </w:tc>
        <w:tc>
          <w:tcPr>
            <w:tcW w:w="17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w:t>
            </w:r>
          </w:p>
        </w:tc>
        <w:tc>
          <w:tcPr>
            <w:tcW w:w="1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w:t>
            </w:r>
          </w:p>
        </w:tc>
        <w:tc>
          <w:tcPr>
            <w:tcW w:w="17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w:t>
            </w:r>
          </w:p>
        </w:tc>
        <w:tc>
          <w:tcPr>
            <w:tcW w:w="17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(7,435)</w:t>
            </w:r>
          </w:p>
        </w:tc>
        <w:tc>
          <w:tcPr>
            <w:tcW w:w="1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Underwriting (loss) and fee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i/>
                <w:color w:val="000000"/>
                <w:sz w:val="20"/>
              </w:rPr>
            </w:pPr>
            <w:r>
              <w:rPr>
                <w:rFonts w:ascii="Times New Roman;serif" w:hAnsi="Times New Roman;serif"/>
                <w:b/>
                <w:i/>
                <w:color w:val="000000"/>
                <w:sz w:val="20"/>
              </w:rPr>
              <w:t>Reconciliation to net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income and net realized and unrealized investment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1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and amortization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(5,647)</w:t>
            </w:r>
          </w:p>
        </w:tc>
        <w:tc>
          <w:tcPr>
            <w:tcW w:w="1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bargain 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exchange and other losses, net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w:t>
            </w:r>
          </w:p>
        </w:tc>
        <w:tc>
          <w:tcPr>
            <w:tcW w:w="1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5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Interest in loss from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Net income from continuing operations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65,940 </w:t>
            </w:r>
          </w:p>
        </w:tc>
        <w:tc>
          <w:tcPr>
            <w:tcW w:w="15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28" w:before="60" w:after="60"/>
        <w:jc w:val="both"/>
        <w:rPr>
          <w:rFonts w:ascii="Times New Roman;serif" w:hAnsi="Times New Roman;serif"/>
          <w:b w:val="false"/>
          <w:color w:val="000000"/>
          <w:sz w:val="16"/>
        </w:rPr>
      </w:pPr>
      <w:r>
        <w:rPr>
          <w:rFonts w:ascii="Times New Roman;serif" w:hAnsi="Times New Roman;serif"/>
          <w:b w:val="false"/>
          <w:color w:val="000000"/>
          <w:sz w:val="16"/>
        </w:rPr>
        <w:t>(1) Legacy Reinsurance underwriting results only include the post-combination period of May 28, 2025 to September 30, 2025.</w:t>
      </w:r>
    </w:p>
    <w:p>
      <w:pPr>
        <w:pStyle w:val="TextBody"/>
        <w:bidi w:val="0"/>
        <w:spacing w:before="0" w:after="0"/>
        <w:jc w:val="both"/>
        <w:rPr/>
      </w:pPr>
      <w:r>
        <w:rPr/>
      </w:r>
    </w:p>
    <w:tbl>
      <w:tblPr>
        <w:tblW w:w="9026" w:type="dxa"/>
        <w:jc w:val="center"/>
        <w:tblInd w:w="0" w:type="dxa"/>
        <w:tblLayout w:type="fixed"/>
        <w:tblCellMar>
          <w:top w:w="28" w:type="dxa"/>
          <w:left w:w="28" w:type="dxa"/>
          <w:bottom w:w="28" w:type="dxa"/>
          <w:right w:w="28" w:type="dxa"/>
        </w:tblCellMar>
      </w:tblPr>
      <w:tblGrid>
        <w:gridCol w:w="1304"/>
        <w:gridCol w:w="1146"/>
        <w:gridCol w:w="1150"/>
        <w:gridCol w:w="109"/>
        <w:gridCol w:w="109"/>
        <w:gridCol w:w="109"/>
        <w:gridCol w:w="109"/>
        <w:gridCol w:w="109"/>
        <w:gridCol w:w="109"/>
        <w:gridCol w:w="109"/>
        <w:gridCol w:w="453"/>
        <w:gridCol w:w="872"/>
        <w:gridCol w:w="234"/>
        <w:gridCol w:w="109"/>
        <w:gridCol w:w="109"/>
        <w:gridCol w:w="109"/>
        <w:gridCol w:w="314"/>
        <w:gridCol w:w="918"/>
        <w:gridCol w:w="162"/>
        <w:gridCol w:w="109"/>
        <w:gridCol w:w="109"/>
        <w:gridCol w:w="109"/>
        <w:gridCol w:w="211"/>
        <w:gridCol w:w="691"/>
        <w:gridCol w:w="154"/>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Legacy Reinsurance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Program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16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Fee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6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i/>
                <w:color w:val="000000"/>
                <w:sz w:val="20"/>
              </w:rPr>
            </w:pPr>
            <w:r>
              <w:rPr>
                <w:rFonts w:ascii="Times New Roman;serif" w:hAnsi="Times New Roman;serif"/>
                <w:b/>
                <w:i/>
                <w:color w:val="000000"/>
                <w:sz w:val="20"/>
              </w:rPr>
              <w:t>Reconciliation to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investment income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Net loss from continuing operations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15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3. Segment Information (continued)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financial position of the Company's reportable segments including a reconciliation to the Company's consolidated total assets at September 30, 2025 and December 31, 2024:</w:t>
      </w:r>
    </w:p>
    <w:tbl>
      <w:tblPr>
        <w:tblW w:w="10168" w:type="dxa"/>
        <w:jc w:val="center"/>
        <w:tblInd w:w="0" w:type="dxa"/>
        <w:tblLayout w:type="fixed"/>
        <w:tblCellMar>
          <w:top w:w="28" w:type="dxa"/>
          <w:left w:w="28" w:type="dxa"/>
          <w:bottom w:w="28" w:type="dxa"/>
          <w:right w:w="28" w:type="dxa"/>
        </w:tblCellMar>
      </w:tblPr>
      <w:tblGrid>
        <w:gridCol w:w="1614"/>
        <w:gridCol w:w="1418"/>
        <w:gridCol w:w="1423"/>
        <w:gridCol w:w="109"/>
        <w:gridCol w:w="109"/>
        <w:gridCol w:w="109"/>
        <w:gridCol w:w="109"/>
        <w:gridCol w:w="109"/>
        <w:gridCol w:w="109"/>
        <w:gridCol w:w="109"/>
        <w:gridCol w:w="287"/>
        <w:gridCol w:w="1125"/>
        <w:gridCol w:w="148"/>
        <w:gridCol w:w="109"/>
        <w:gridCol w:w="109"/>
        <w:gridCol w:w="109"/>
        <w:gridCol w:w="314"/>
        <w:gridCol w:w="919"/>
        <w:gridCol w:w="162"/>
        <w:gridCol w:w="109"/>
        <w:gridCol w:w="109"/>
        <w:gridCol w:w="109"/>
        <w:gridCol w:w="211"/>
        <w:gridCol w:w="976"/>
        <w:gridCol w:w="154"/>
      </w:tblGrid>
      <w:tr>
        <w:trPr/>
        <w:tc>
          <w:tcPr>
            <w:tcW w:w="161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Legacy Reinsurance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Program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455"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Reinsurance balances receivable, net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9,706 </w:t>
            </w:r>
          </w:p>
        </w:tc>
        <w:tc>
          <w:tcPr>
            <w:tcW w:w="14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Reinsurance recoverable on unpaid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492,790 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Deferred commission and other acquisition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Loan to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101,689 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and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211,533 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Funds withheld receivable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Other assets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Total assets - reportable segments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838,133 </w:t>
            </w:r>
          </w:p>
        </w:tc>
        <w:tc>
          <w:tcPr>
            <w:tcW w:w="14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3,787 </w:t>
            </w:r>
          </w:p>
        </w:tc>
        <w:tc>
          <w:tcPr>
            <w:tcW w:w="16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841,920 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Corporate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19,155 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838,133 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1,130,440 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Legacy Reinsurance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Program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 and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162"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15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Other assets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Total assets - reportable segments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5,254 </w:t>
            </w:r>
          </w:p>
        </w:tc>
        <w:tc>
          <w:tcPr>
            <w:tcW w:w="162"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5,254 </w:t>
            </w:r>
          </w:p>
        </w:tc>
        <w:tc>
          <w:tcPr>
            <w:tcW w:w="15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Corporate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5,254 </w:t>
            </w:r>
          </w:p>
        </w:tc>
        <w:tc>
          <w:tcPr>
            <w:tcW w:w="162"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5,510 </w:t>
            </w:r>
          </w:p>
        </w:tc>
        <w:tc>
          <w:tcPr>
            <w:tcW w:w="154"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(1) Other assets for the Program Services segment is entirely comprised of Program fee receivables related to written premiums that are still unpaid at the reporting date. Unpaid amount are generally paid with 30-60 days after inception of the policy unless the program allows for premiums to be paid on installments. Other assets also includes fees due from Programs for contractual arrangements with minimum annual fees. Kestrel amortizes the minimum fee over the contract period.</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relating to net premiums written by major line of business within the Legacy Reinsurance segment for the three and nine months ended September 30, 2025 are detailed below: </w:t>
      </w:r>
    </w:p>
    <w:tbl>
      <w:tblPr>
        <w:tblW w:w="5246" w:type="dxa"/>
        <w:jc w:val="center"/>
        <w:tblInd w:w="0" w:type="dxa"/>
        <w:tblLayout w:type="fixed"/>
        <w:tblCellMar>
          <w:top w:w="28" w:type="dxa"/>
          <w:left w:w="28" w:type="dxa"/>
          <w:bottom w:w="28" w:type="dxa"/>
          <w:right w:w="28" w:type="dxa"/>
        </w:tblCellMar>
      </w:tblPr>
      <w:tblGrid>
        <w:gridCol w:w="1190"/>
        <w:gridCol w:w="1045"/>
        <w:gridCol w:w="1049"/>
        <w:gridCol w:w="109"/>
        <w:gridCol w:w="109"/>
        <w:gridCol w:w="109"/>
        <w:gridCol w:w="211"/>
        <w:gridCol w:w="616"/>
        <w:gridCol w:w="109"/>
        <w:gridCol w:w="109"/>
        <w:gridCol w:w="109"/>
        <w:gridCol w:w="109"/>
        <w:gridCol w:w="109"/>
        <w:gridCol w:w="109"/>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i/>
                <w:color w:val="000000"/>
                <w:sz w:val="20"/>
              </w:rPr>
            </w:pPr>
            <w:r>
              <w:rPr>
                <w:rFonts w:ascii="Times New Roman;serif" w:hAnsi="Times New Roman;serif"/>
                <w:b/>
                <w:i/>
                <w:color w:val="000000"/>
                <w:sz w:val="20"/>
              </w:rPr>
              <w:t>Net premiums written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Legacy Reinsurance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Legacy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28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Legacy Reinsurance Segment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Legacy Reinsurance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Legacy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Legacy Reinsurance Segment</w:t>
            </w:r>
            <w:r>
              <w:rPr>
                <w:rFonts w:ascii="Times New Roman;serif" w:hAnsi="Times New Roman;serif"/>
                <w:b/>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32" w:before="120" w:after="120"/>
        <w:jc w:val="both"/>
        <w:rPr>
          <w:rFonts w:ascii="Times New Roman;serif" w:hAnsi="Times New Roman;serif"/>
          <w:b w:val="false"/>
          <w:color w:val="000000"/>
          <w:sz w:val="16"/>
        </w:rPr>
      </w:pPr>
      <w:r>
        <w:rPr>
          <w:rFonts w:ascii="Times New Roman;serif" w:hAnsi="Times New Roman;serif"/>
          <w:b w:val="false"/>
          <w:color w:val="000000"/>
          <w:sz w:val="16"/>
        </w:rPr>
        <w:t>(1) Legacy Reinsurance segment results only include the post-combination period of May 28, 2025 to September 30, 2025.</w:t>
      </w:r>
    </w:p>
    <w:p>
      <w:pPr>
        <w:pStyle w:val="TextBody"/>
        <w:bidi w:val="0"/>
        <w:spacing w:before="60" w:after="283"/>
        <w:ind w:left="0" w:right="0" w:firstLine="225"/>
        <w:jc w:val="both"/>
        <w:rPr/>
      </w:pPr>
      <w:r>
        <w:rPr/>
      </w:r>
    </w:p>
    <w:p>
      <w:pPr>
        <w:pStyle w:val="TextBody"/>
        <w:bidi w:val="0"/>
        <w:spacing w:before="60" w:after="283"/>
        <w:ind w:left="0" w:right="0" w:firstLine="225"/>
        <w:jc w:val="both"/>
        <w:rPr/>
      </w:pPr>
      <w:r>
        <w:rPr/>
      </w:r>
    </w:p>
    <w:p>
      <w:pPr>
        <w:pStyle w:val="TextBody"/>
        <w:bidi w:val="0"/>
        <w:spacing w:before="60" w:after="283"/>
        <w:ind w:left="0" w:right="0" w:firstLine="225"/>
        <w:jc w:val="both"/>
        <w:rPr/>
      </w:pPr>
      <w:r>
        <w:rPr/>
      </w:r>
    </w:p>
    <w:p>
      <w:pPr>
        <w:pStyle w:val="TextBody"/>
        <w:bidi w:val="0"/>
        <w:spacing w:before="60" w:after="283"/>
        <w:ind w:left="0" w:right="0" w:firstLine="225"/>
        <w:jc w:val="both"/>
        <w:rPr/>
      </w:pPr>
      <w:r>
        <w:rPr/>
      </w:r>
    </w:p>
    <w:p>
      <w:pPr>
        <w:pStyle w:val="TextBody"/>
        <w:bidi w:val="0"/>
        <w:spacing w:before="60" w:after="283"/>
        <w:ind w:left="0" w:right="0" w:firstLine="22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60" w:after="120"/>
        <w:jc w:val="both"/>
        <w:rPr>
          <w:rFonts w:ascii="Times New Roman;serif" w:hAnsi="Times New Roman;serif"/>
          <w:b/>
          <w:color w:val="000000"/>
          <w:sz w:val="20"/>
        </w:rPr>
      </w:pPr>
      <w:r>
        <w:rPr>
          <w:rFonts w:ascii="Times New Roman;serif" w:hAnsi="Times New Roman;serif"/>
          <w:b/>
          <w:color w:val="000000"/>
          <w:sz w:val="20"/>
        </w:rPr>
        <w:t>3. Segment Information (continued)</w:t>
      </w:r>
    </w:p>
    <w:p>
      <w:pPr>
        <w:pStyle w:val="TextBody"/>
        <w:bidi w:val="0"/>
        <w:spacing w:lineRule="auto" w:line="240" w:before="60" w:after="283"/>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for net premiums earned by major line of business within the Legacy Reinsurance segment for the three and nine months ended September 30, 2025 are detailed below: </w:t>
      </w:r>
    </w:p>
    <w:tbl>
      <w:tblPr>
        <w:tblW w:w="5246" w:type="dxa"/>
        <w:jc w:val="center"/>
        <w:tblInd w:w="0" w:type="dxa"/>
        <w:tblLayout w:type="fixed"/>
        <w:tblCellMar>
          <w:top w:w="28" w:type="dxa"/>
          <w:left w:w="28" w:type="dxa"/>
          <w:bottom w:w="28" w:type="dxa"/>
          <w:right w:w="28" w:type="dxa"/>
        </w:tblCellMar>
      </w:tblPr>
      <w:tblGrid>
        <w:gridCol w:w="1190"/>
        <w:gridCol w:w="1045"/>
        <w:gridCol w:w="1049"/>
        <w:gridCol w:w="109"/>
        <w:gridCol w:w="109"/>
        <w:gridCol w:w="109"/>
        <w:gridCol w:w="211"/>
        <w:gridCol w:w="616"/>
        <w:gridCol w:w="109"/>
        <w:gridCol w:w="109"/>
        <w:gridCol w:w="109"/>
        <w:gridCol w:w="109"/>
        <w:gridCol w:w="109"/>
        <w:gridCol w:w="109"/>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i/>
                <w:color w:val="000000"/>
                <w:sz w:val="20"/>
              </w:rPr>
            </w:pPr>
            <w:r>
              <w:rPr>
                <w:rFonts w:ascii="Times New Roman;serif" w:hAnsi="Times New Roman;serif"/>
                <w:b/>
                <w:i/>
                <w:color w:val="000000"/>
                <w:sz w:val="20"/>
              </w:rPr>
              <w:t>Net premiums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Legacy Reinsurance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Legacy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28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Legacy Reinsurance Segment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Legacy Reinsurance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Legacy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Legacy Reinsurance Segment</w:t>
            </w:r>
            <w:r>
              <w:rPr>
                <w:rFonts w:ascii="Times New Roman;serif" w:hAnsi="Times New Roman;serif"/>
                <w:b/>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9,258 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283"/>
        <w:ind w:left="0" w:right="0" w:firstLine="180"/>
        <w:jc w:val="both"/>
        <w:rPr>
          <w:rFonts w:ascii="Times New Roman;serif" w:hAnsi="Times New Roman;serif"/>
          <w:b w:val="false"/>
          <w:color w:val="000000"/>
          <w:sz w:val="16"/>
        </w:rPr>
      </w:pPr>
      <w:r>
        <w:rPr>
          <w:rFonts w:ascii="Times New Roman;serif" w:hAnsi="Times New Roman;serif"/>
          <w:b w:val="false"/>
          <w:color w:val="000000"/>
          <w:sz w:val="16"/>
        </w:rPr>
        <w:t>(1) Legacy Reinsurance segment results only include the post-combination period of May 28, 2025 to September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00" w:after="120"/>
        <w:jc w:val="left"/>
        <w:rPr>
          <w:rFonts w:ascii="Times New Roman;serif" w:hAnsi="Times New Roman;serif"/>
          <w:b/>
          <w:color w:val="000000"/>
          <w:sz w:val="20"/>
        </w:rPr>
      </w:pPr>
      <w:r>
        <w:rPr>
          <w:rFonts w:ascii="Times New Roman;serif" w:hAnsi="Times New Roman;serif"/>
          <w:b/>
          <w:color w:val="000000"/>
          <w:sz w:val="20"/>
        </w:rPr>
        <w:t>4. Investments</w:t>
      </w:r>
    </w:p>
    <w:p>
      <w:pPr>
        <w:pStyle w:val="TextBody"/>
        <w:bidi w:val="0"/>
        <w:spacing w:lineRule="auto" w:line="240" w:before="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holds: (i) available-for-sale ("AFS") portfolios of fixed maturity and equity securities, carried at fair value; (ii) other investments carried at fair value; (iii) equity method investments using equity method accounting; and (iv) funds held - directly managed.</w:t>
      </w:r>
    </w:p>
    <w:p>
      <w:pPr>
        <w:pStyle w:val="TextBody"/>
        <w:bidi w:val="0"/>
        <w:spacing w:lineRule="auto" w:line="240" w:before="0" w:after="120"/>
        <w:ind w:left="0" w:right="0" w:hanging="270"/>
        <w:jc w:val="left"/>
        <w:rPr>
          <w:rFonts w:ascii="Times New Roman;serif" w:hAnsi="Times New Roman;serif"/>
          <w:b/>
          <w:i/>
          <w:color w:val="000000"/>
          <w:sz w:val="20"/>
        </w:rPr>
      </w:pPr>
      <w:r>
        <w:rPr>
          <w:rFonts w:ascii="Times New Roman;serif" w:hAnsi="Times New Roman;serif"/>
          <w:b/>
          <w:i/>
          <w:color w:val="000000"/>
          <w:sz w:val="20"/>
        </w:rPr>
        <w:t>a)Fixed Maturities</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amortized cost, gross unrealized gains and losses, and fair value of fixed maturities at September 30, 2025 are as follows: </w:t>
      </w:r>
    </w:p>
    <w:tbl>
      <w:tblPr>
        <w:tblW w:w="10205" w:type="dxa"/>
        <w:jc w:val="center"/>
        <w:tblInd w:w="0" w:type="dxa"/>
        <w:tblLayout w:type="fixed"/>
        <w:tblCellMar>
          <w:top w:w="28" w:type="dxa"/>
          <w:left w:w="28" w:type="dxa"/>
          <w:bottom w:w="28" w:type="dxa"/>
          <w:right w:w="28" w:type="dxa"/>
        </w:tblCellMar>
      </w:tblPr>
      <w:tblGrid>
        <w:gridCol w:w="1053"/>
        <w:gridCol w:w="925"/>
        <w:gridCol w:w="932"/>
        <w:gridCol w:w="109"/>
        <w:gridCol w:w="109"/>
        <w:gridCol w:w="109"/>
        <w:gridCol w:w="329"/>
        <w:gridCol w:w="1292"/>
        <w:gridCol w:w="170"/>
        <w:gridCol w:w="109"/>
        <w:gridCol w:w="109"/>
        <w:gridCol w:w="109"/>
        <w:gridCol w:w="399"/>
        <w:gridCol w:w="886"/>
        <w:gridCol w:w="209"/>
        <w:gridCol w:w="109"/>
        <w:gridCol w:w="109"/>
        <w:gridCol w:w="109"/>
        <w:gridCol w:w="436"/>
        <w:gridCol w:w="841"/>
        <w:gridCol w:w="228"/>
        <w:gridCol w:w="109"/>
        <w:gridCol w:w="109"/>
        <w:gridCol w:w="109"/>
        <w:gridCol w:w="211"/>
        <w:gridCol w:w="826"/>
        <w:gridCol w:w="160"/>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or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910"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U.S. treasury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38,729 </w:t>
            </w:r>
          </w:p>
        </w:tc>
        <w:tc>
          <w:tcPr>
            <w:tcW w:w="17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38,730 </w:t>
            </w:r>
          </w:p>
        </w:tc>
        <w:tc>
          <w:tcPr>
            <w:tcW w:w="16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U.S. agency bonds – 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91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52,680 </w:t>
            </w:r>
          </w:p>
        </w:tc>
        <w:tc>
          <w:tcPr>
            <w:tcW w:w="17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2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52,623 </w:t>
            </w:r>
          </w:p>
        </w:tc>
        <w:tc>
          <w:tcPr>
            <w:tcW w:w="160"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16,736 </w:t>
            </w:r>
          </w:p>
        </w:tc>
        <w:tc>
          <w:tcPr>
            <w:tcW w:w="17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16,744 </w:t>
            </w:r>
          </w:p>
        </w:tc>
        <w:tc>
          <w:tcPr>
            <w:tcW w:w="16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Total fixed maturity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197,941 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198,658 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54" w:type="dxa"/>
        <w:jc w:val="center"/>
        <w:tblInd w:w="0" w:type="dxa"/>
        <w:tblLayout w:type="fixed"/>
        <w:tblCellMar>
          <w:top w:w="28" w:type="dxa"/>
          <w:left w:w="28" w:type="dxa"/>
          <w:bottom w:w="28" w:type="dxa"/>
          <w:right w:w="28" w:type="dxa"/>
        </w:tblCellMar>
      </w:tblPr>
      <w:tblGrid>
        <w:gridCol w:w="547"/>
        <w:gridCol w:w="483"/>
        <w:gridCol w:w="484"/>
        <w:gridCol w:w="109"/>
        <w:gridCol w:w="109"/>
        <w:gridCol w:w="109"/>
        <w:gridCol w:w="679"/>
        <w:gridCol w:w="679"/>
        <w:gridCol w:w="681"/>
        <w:gridCol w:w="109"/>
        <w:gridCol w:w="109"/>
        <w:gridCol w:w="109"/>
        <w:gridCol w:w="579"/>
        <w:gridCol w:w="579"/>
        <w:gridCol w:w="581"/>
        <w:gridCol w:w="109"/>
        <w:gridCol w:w="109"/>
        <w:gridCol w:w="109"/>
        <w:gridCol w:w="584"/>
        <w:gridCol w:w="584"/>
        <w:gridCol w:w="586"/>
        <w:gridCol w:w="109"/>
        <w:gridCol w:w="109"/>
        <w:gridCol w:w="109"/>
        <w:gridCol w:w="263"/>
        <w:gridCol w:w="263"/>
        <w:gridCol w:w="374"/>
      </w:tblGrid>
      <w:tr>
        <w:trPr/>
        <w:tc>
          <w:tcPr>
            <w:tcW w:w="54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6"/>
              </w:rPr>
            </w:pPr>
            <w:r>
              <w:rPr>
                <w:rFonts w:ascii="Times New Roman;serif" w:hAnsi="Times New Roman;serif"/>
                <w:b/>
                <w:color w:val="FFFFFF"/>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Original or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Fair value</w:t>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separately presents the accrued interest receivable balance on its AFS fixed maturity investments on the Condensed Consolidated Balance Sheets under accrued investment income. The amount of accrued interest receivable on AFS securities was $727 at September 30, 2025. The Company has elected the practical expedient to exclude accrued interest from both the fair value and the amortized cost basis of the AFS fixed maturity securities for the purposes of identifying and measuring any impairments under the allowance for expected credit losses standard. Write-offs of accrued interest receivable balances are recognized in net investment gains and losses in the period in which they are deemed uncollectible. There was no write-off recognized on the accrued interest receivable during the three and nine months ended September 30, 2025.</w:t>
      </w:r>
    </w:p>
    <w:p>
      <w:pPr>
        <w:pStyle w:val="TextBody"/>
        <w:bidi w:val="0"/>
        <w:spacing w:lineRule="auto" w:line="240" w:before="60" w:after="120"/>
        <w:jc w:val="both"/>
        <w:rPr>
          <w:rFonts w:ascii="Times New Roman;serif" w:hAnsi="Times New Roman;serif"/>
          <w:b w:val="false"/>
          <w:color w:val="000000"/>
          <w:sz w:val="20"/>
        </w:rPr>
      </w:pPr>
      <w:r>
        <w:rPr>
          <w:rFonts w:ascii="Times New Roman;serif" w:hAnsi="Times New Roman;serif"/>
          <w:b w:val="false"/>
          <w:color w:val="000000"/>
          <w:sz w:val="20"/>
        </w:rPr>
        <w:t>The contractual maturities of our fixed maturities are shown below. Actual maturities may differ from contractual maturities because borrowers may have the right to call or prepay obligations with or without call or prepayment penalties.</w:t>
      </w:r>
    </w:p>
    <w:tbl>
      <w:tblPr>
        <w:tblW w:w="6706" w:type="dxa"/>
        <w:jc w:val="center"/>
        <w:tblInd w:w="0" w:type="dxa"/>
        <w:tblLayout w:type="fixed"/>
        <w:tblCellMar>
          <w:top w:w="28" w:type="dxa"/>
          <w:left w:w="28" w:type="dxa"/>
          <w:bottom w:w="28" w:type="dxa"/>
          <w:right w:w="28" w:type="dxa"/>
        </w:tblCellMar>
      </w:tblPr>
      <w:tblGrid>
        <w:gridCol w:w="1170"/>
        <w:gridCol w:w="1025"/>
        <w:gridCol w:w="1030"/>
        <w:gridCol w:w="109"/>
        <w:gridCol w:w="109"/>
        <w:gridCol w:w="109"/>
        <w:gridCol w:w="221"/>
        <w:gridCol w:w="865"/>
        <w:gridCol w:w="114"/>
        <w:gridCol w:w="109"/>
        <w:gridCol w:w="109"/>
        <w:gridCol w:w="109"/>
        <w:gridCol w:w="211"/>
        <w:gridCol w:w="826"/>
        <w:gridCol w:w="109"/>
        <w:gridCol w:w="109"/>
        <w:gridCol w:w="109"/>
        <w:gridCol w:w="109"/>
        <w:gridCol w:w="154"/>
      </w:tblGrid>
      <w:tr>
        <w:trPr/>
        <w:tc>
          <w:tcPr>
            <w:tcW w:w="117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78,307 </w:t>
            </w:r>
          </w:p>
        </w:tc>
        <w:tc>
          <w:tcPr>
            <w:tcW w:w="11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78,282 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Due after five years through ten years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108,145 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U.S. agency bonds – mortgage-backed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21,430 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22,122 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Total fixed maturity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197,941 </w:t>
            </w:r>
          </w:p>
        </w:tc>
        <w:tc>
          <w:tcPr>
            <w:tcW w:w="11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198,658 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fixed maturities in an unrealized loss position and the aggregate fair value and gross unrealized loss by length of time the security has continuously been in an unrealized loss position: </w:t>
      </w:r>
    </w:p>
    <w:tbl>
      <w:tblPr>
        <w:tblW w:w="10205" w:type="dxa"/>
        <w:jc w:val="center"/>
        <w:tblInd w:w="0" w:type="dxa"/>
        <w:tblLayout w:type="fixed"/>
        <w:tblCellMar>
          <w:top w:w="28" w:type="dxa"/>
          <w:left w:w="28" w:type="dxa"/>
          <w:bottom w:w="28" w:type="dxa"/>
          <w:right w:w="28" w:type="dxa"/>
        </w:tblCellMar>
      </w:tblPr>
      <w:tblGrid>
        <w:gridCol w:w="1080"/>
        <w:gridCol w:w="789"/>
        <w:gridCol w:w="792"/>
        <w:gridCol w:w="109"/>
        <w:gridCol w:w="109"/>
        <w:gridCol w:w="109"/>
        <w:gridCol w:w="211"/>
        <w:gridCol w:w="721"/>
        <w:gridCol w:w="109"/>
        <w:gridCol w:w="109"/>
        <w:gridCol w:w="109"/>
        <w:gridCol w:w="109"/>
        <w:gridCol w:w="274"/>
        <w:gridCol w:w="490"/>
        <w:gridCol w:w="143"/>
        <w:gridCol w:w="109"/>
        <w:gridCol w:w="109"/>
        <w:gridCol w:w="109"/>
        <w:gridCol w:w="211"/>
        <w:gridCol w:w="406"/>
        <w:gridCol w:w="109"/>
        <w:gridCol w:w="109"/>
        <w:gridCol w:w="109"/>
        <w:gridCol w:w="109"/>
        <w:gridCol w:w="263"/>
        <w:gridCol w:w="508"/>
        <w:gridCol w:w="137"/>
        <w:gridCol w:w="109"/>
        <w:gridCol w:w="109"/>
        <w:gridCol w:w="109"/>
        <w:gridCol w:w="211"/>
        <w:gridCol w:w="721"/>
        <w:gridCol w:w="109"/>
        <w:gridCol w:w="109"/>
        <w:gridCol w:w="109"/>
        <w:gridCol w:w="109"/>
        <w:gridCol w:w="271"/>
        <w:gridCol w:w="483"/>
        <w:gridCol w:w="205"/>
      </w:tblGrid>
      <w:tr>
        <w:trPr/>
        <w:tc>
          <w:tcPr>
            <w:tcW w:w="108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Unrealized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Unrealized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Unrealized </w:t>
              <w:br/>
              <w:t>losses</w:t>
            </w:r>
          </w:p>
        </w:tc>
      </w:tr>
      <w:tr>
        <w:trPr/>
        <w:tc>
          <w:tcPr>
            <w:tcW w:w="2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2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2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661"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52,623 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4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52,623 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0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2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2661"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temporarily impaired fixed maturities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61,997 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4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61,997 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0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2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120"/>
        <w:jc w:val="both"/>
        <w:rPr>
          <w:rFonts w:ascii="Times New Roman;serif" w:hAnsi="Times New Roman;serif"/>
          <w:b w:val="false"/>
          <w:color w:val="000000"/>
          <w:sz w:val="20"/>
        </w:rPr>
      </w:pPr>
      <w:r>
        <w:rPr>
          <w:rFonts w:ascii="Times New Roman;serif" w:hAnsi="Times New Roman;serif"/>
          <w:b w:val="false"/>
          <w:color w:val="000000"/>
          <w:sz w:val="20"/>
        </w:rPr>
        <w:t>At September 30, 2025, there were 12 securities in an unrealized loss position for less than 12 months with a fair value of $61,997 and unrealized losses of $64.</w:t>
      </w:r>
    </w:p>
    <w:p>
      <w:pPr>
        <w:pStyle w:val="TextBody"/>
        <w:bidi w:val="0"/>
        <w:spacing w:lineRule="auto" w:line="240" w:before="0" w:after="120"/>
        <w:jc w:val="both"/>
        <w:rPr>
          <w:rFonts w:ascii="Times New Roman;serif" w:hAnsi="Times New Roman;serif"/>
          <w:b w:val="false"/>
          <w:i/>
          <w:color w:val="000000"/>
          <w:sz w:val="20"/>
        </w:rPr>
      </w:pPr>
      <w:r>
        <w:rPr>
          <w:rFonts w:ascii="Times New Roman;serif" w:hAnsi="Times New Roman;serif"/>
          <w:b w:val="false"/>
          <w:i/>
          <w:color w:val="000000"/>
          <w:sz w:val="20"/>
        </w:rPr>
        <w:t>Allowance for Expected Credit Losses &amp; Non-Credit Related Impairment Costs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AFS securities for impairment when fair value is below amortized cost on a quarterly basis. If the Company intends to sell or will be required to sell the security before its anticipated recovery, the full amount of the impairment loss is charged to net income (loss) and included in net investment gains (losses). If the Company does not intend to sell or will not be required to sell the security before its anticipated recovery, an allowance for expected credit losses is established and the portion of the loss relating to credit factors is recorded in net income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4. Investments (continued)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non-credit impairment amount of the loss (which could be related to interest rates and/or market conditions) is recognized in other comprehensive income. To estimate the allowance for expected credit losses for most of the AFS securities, the Company analyzes projected cash flows which are primarily driven by assumptions regarding loss severity, probability of default and projected recovery rates. The Company's determination of default and loss severity rates are based on credit rating, credit analysis and macroeconomic forecasts. Unrealized losses on securities issued or backed, either explicitly or implicitly by the U.S. government are not analyzed for credit losses. The Company has concluded that any possibility of a credit loss on these securities is highly unlikely due to the explicit U.S. government guarantee related to certain securities (e.g., Government National Mortgage Association issuances) and the implicit guarantee related to other securities that has been validated by past actions (e.g., U.S. government bailout of Federal National Mortgage Association and Federal Home Loan Mortgage Corporation during the 2008 credit crisis). Although these securities are not analyzed for credit losses, they are evaluated for impairment based on the Company's intention to sell and likely requirement to sell.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Based on the Company's analysis at September 30, 2025, net unrealized gains on the Company’s AFS fixed maturity securities were due to non-credit factors and were expected to be recovered as the related securities approach maturity. At September 30, 2025, the Company did not intend to sell the securities in an unrealized loss position and it is not more likely than not that the Company will be required to sell these securities before the anticipated recovery of their amortized costs. Therefore, there was no allowance recorded for expected credit losses on AFS securities for the three and nine months ended September 30, 2025. The following tables summarize the credit ratings of our fixed maturities as at September 30, 2025:</w:t>
      </w:r>
    </w:p>
    <w:tbl>
      <w:tblPr>
        <w:tblW w:w="7756" w:type="dxa"/>
        <w:jc w:val="center"/>
        <w:tblInd w:w="0" w:type="dxa"/>
        <w:tblLayout w:type="fixed"/>
        <w:tblCellMar>
          <w:top w:w="28" w:type="dxa"/>
          <w:left w:w="28" w:type="dxa"/>
          <w:bottom w:w="28" w:type="dxa"/>
          <w:right w:w="28" w:type="dxa"/>
        </w:tblCellMar>
      </w:tblPr>
      <w:tblGrid>
        <w:gridCol w:w="1167"/>
        <w:gridCol w:w="1025"/>
        <w:gridCol w:w="1033"/>
        <w:gridCol w:w="109"/>
        <w:gridCol w:w="109"/>
        <w:gridCol w:w="109"/>
        <w:gridCol w:w="221"/>
        <w:gridCol w:w="865"/>
        <w:gridCol w:w="114"/>
        <w:gridCol w:w="109"/>
        <w:gridCol w:w="109"/>
        <w:gridCol w:w="109"/>
        <w:gridCol w:w="211"/>
        <w:gridCol w:w="826"/>
        <w:gridCol w:w="109"/>
        <w:gridCol w:w="109"/>
        <w:gridCol w:w="109"/>
        <w:gridCol w:w="109"/>
        <w:gridCol w:w="307"/>
        <w:gridCol w:w="309"/>
        <w:gridCol w:w="588"/>
      </w:tblGrid>
      <w:tr>
        <w:trPr/>
        <w:tc>
          <w:tcPr>
            <w:tcW w:w="116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of Total </w:t>
              <w:br/>
              <w:t>fair value</w:t>
            </w:r>
          </w:p>
        </w:tc>
      </w:tr>
      <w:tr>
        <w:trPr/>
        <w:tc>
          <w:tcPr>
            <w:tcW w:w="3225"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U.S. treasury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38,729 </w:t>
            </w:r>
          </w:p>
        </w:tc>
        <w:tc>
          <w:tcPr>
            <w:tcW w:w="11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58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U.S. agency bonds – 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AAA</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79,908 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79,965 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58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AA+, AA, 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 A, A-</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23,073 </w:t>
            </w:r>
          </w:p>
        </w:tc>
        <w:tc>
          <w:tcPr>
            <w:tcW w:w="11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58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BBB+, BBB, 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 xml:space="preserve">Total fixed maturities </w:t>
            </w:r>
            <w:r>
              <w:rPr>
                <w:rFonts w:ascii="Times New Roman;serif" w:hAnsi="Times New Roman;serif"/>
                <w:b/>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197,941 </w:t>
            </w:r>
          </w:p>
        </w:tc>
        <w:tc>
          <w:tcPr>
            <w:tcW w:w="11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198,658 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8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4484" w:type="dxa"/>
        <w:jc w:val="left"/>
        <w:tblInd w:w="0" w:type="dxa"/>
        <w:tblLayout w:type="fixed"/>
        <w:tblCellMar>
          <w:top w:w="28" w:type="dxa"/>
          <w:left w:w="28" w:type="dxa"/>
          <w:bottom w:w="28" w:type="dxa"/>
          <w:right w:w="28" w:type="dxa"/>
        </w:tblCellMar>
      </w:tblPr>
      <w:tblGrid>
        <w:gridCol w:w="547"/>
        <w:gridCol w:w="483"/>
        <w:gridCol w:w="484"/>
        <w:gridCol w:w="109"/>
        <w:gridCol w:w="109"/>
        <w:gridCol w:w="109"/>
        <w:gridCol w:w="399"/>
        <w:gridCol w:w="399"/>
        <w:gridCol w:w="401"/>
        <w:gridCol w:w="109"/>
        <w:gridCol w:w="109"/>
        <w:gridCol w:w="109"/>
        <w:gridCol w:w="284"/>
        <w:gridCol w:w="284"/>
        <w:gridCol w:w="286"/>
        <w:gridCol w:w="109"/>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6"/>
              </w:rPr>
            </w:pPr>
            <w:r>
              <w:rPr>
                <w:rFonts w:ascii="Times New Roman;serif" w:hAnsi="Times New Roman;serif"/>
                <w:b/>
                <w:color w:val="FFFFFF"/>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00" w:after="6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(1)Ratings above are based on Standard &amp; Poor’s ("S&amp;P"), or equivalent, ratings.</w:t>
      </w:r>
    </w:p>
    <w:p>
      <w:pPr>
        <w:pStyle w:val="TextBody"/>
        <w:bidi w:val="0"/>
        <w:spacing w:before="100" w:after="60"/>
        <w:jc w:val="left"/>
        <w:rPr/>
      </w:pPr>
      <w:r>
        <w:rPr/>
      </w:r>
    </w:p>
    <w:p>
      <w:pPr>
        <w:pStyle w:val="TextBody"/>
        <w:bidi w:val="0"/>
        <w:spacing w:lineRule="auto" w:line="240" w:before="0" w:after="120"/>
        <w:ind w:left="0" w:right="0" w:hanging="270"/>
        <w:jc w:val="left"/>
        <w:rPr>
          <w:rFonts w:ascii="Times New Roman;serif" w:hAnsi="Times New Roman;serif"/>
          <w:b/>
          <w:i/>
          <w:color w:val="000000"/>
          <w:sz w:val="20"/>
        </w:rPr>
      </w:pPr>
      <w:r>
        <w:rPr>
          <w:rFonts w:ascii="Times New Roman;serif" w:hAnsi="Times New Roman;serif"/>
          <w:b/>
          <w:i/>
          <w:color w:val="000000"/>
          <w:sz w:val="20"/>
        </w:rPr>
        <w:t>b)Other Investments, Equity Securities and Equity Method Investments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Certain of the Company's other investments and equity method investments are subject to restrictions on redemptions and sales that are determined by the governing documents, which could limit our ability to liquidate those investments. These restrictions may include lock-ups, redemption gates, restricted share classes, restrictions on the frequency of redemption and notice periods. A gate is the ability to deny or delay a redemption request. Certain other investments and equity method investments may not have any restrictions governing their sale, but there is no active market and no assurance that the Company will be able to execute a sale in a timely manner. In addition, even if certain other investments and equity method investments are not eligible for redemption or sales are restricted, we may still receive income distributions from those investments.</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The collateralized investments in direct lending entities of $53,616 at September 30, 2025 are carried at fair market value. ASC 825-10: </w:t>
      </w:r>
      <w:r>
        <w:rPr>
          <w:rFonts w:ascii="Times New Roman;serif" w:hAnsi="Times New Roman;serif"/>
          <w:b w:val="false"/>
          <w:i/>
          <w:color w:val="000000"/>
          <w:sz w:val="20"/>
        </w:rPr>
        <w:t>Financial Instruments</w:t>
      </w:r>
      <w:r>
        <w:rPr>
          <w:color w:val="000000"/>
        </w:rPr>
        <w:t xml:space="preserve"> </w:t>
      </w:r>
      <w:r>
        <w:rPr>
          <w:rFonts w:ascii="Times New Roman;serif" w:hAnsi="Times New Roman;serif"/>
          <w:b w:val="false"/>
          <w:color w:val="000000"/>
          <w:sz w:val="20"/>
        </w:rPr>
        <w:t xml:space="preserve">provides a measurement basis election for most financial instruments using a choice of either historical cost or fair value, including other investments, allowing reporting entities to mitigate potential mismatches that arise under the current mixed measurement attribute model. In connection with the Combination on May 27, 2025, the assets and liabilities of Maiden were recorded at their fair values measured as of the acquisition date. The Company has elected the fair value option for its investments in direct lending entities, and these investments are reported at fair value as of September 30, 2025. Please see </w:t>
      </w:r>
      <w:r>
        <w:rPr>
          <w:rFonts w:ascii="Times New Roman;serif" w:hAnsi="Times New Roman;serif"/>
          <w:b w:val="false"/>
          <w:i/>
          <w:color w:val="000000"/>
          <w:sz w:val="20"/>
        </w:rPr>
        <w:t>Note 5(d). Fair Value Measurements</w:t>
      </w:r>
      <w:r>
        <w:rPr>
          <w:color w:val="000000"/>
        </w:rPr>
        <w:t xml:space="preserve"> </w:t>
      </w:r>
      <w:r>
        <w:rPr>
          <w:rFonts w:ascii="Times New Roman;serif" w:hAnsi="Times New Roman;serif"/>
          <w:b w:val="false"/>
          <w:color w:val="000000"/>
          <w:sz w:val="20"/>
        </w:rPr>
        <w:t>for additional information regarding this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4. Investments (continued)</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Other investments</w:t>
      </w:r>
    </w:p>
    <w:p>
      <w:pPr>
        <w:pStyle w:val="TextBody"/>
        <w:bidi w:val="0"/>
        <w:spacing w:lineRule="auto" w:line="240" w:before="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shows the composition of the Company's other investments at fair value as of September 30, 2025: </w:t>
      </w:r>
    </w:p>
    <w:tbl>
      <w:tblPr>
        <w:tblW w:w="8207" w:type="dxa"/>
        <w:jc w:val="center"/>
        <w:tblInd w:w="0" w:type="dxa"/>
        <w:tblLayout w:type="fixed"/>
        <w:tblCellMar>
          <w:top w:w="28" w:type="dxa"/>
          <w:left w:w="28" w:type="dxa"/>
          <w:bottom w:w="28" w:type="dxa"/>
          <w:right w:w="28" w:type="dxa"/>
        </w:tblCellMar>
      </w:tblPr>
      <w:tblGrid>
        <w:gridCol w:w="1731"/>
        <w:gridCol w:w="1524"/>
        <w:gridCol w:w="1529"/>
        <w:gridCol w:w="109"/>
        <w:gridCol w:w="109"/>
        <w:gridCol w:w="109"/>
        <w:gridCol w:w="211"/>
        <w:gridCol w:w="826"/>
        <w:gridCol w:w="109"/>
        <w:gridCol w:w="109"/>
        <w:gridCol w:w="109"/>
        <w:gridCol w:w="109"/>
        <w:gridCol w:w="307"/>
        <w:gridCol w:w="309"/>
        <w:gridCol w:w="526"/>
        <w:gridCol w:w="109"/>
        <w:gridCol w:w="109"/>
        <w:gridCol w:w="109"/>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of Total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 funds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30,982 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5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credit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 with fair value option elected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78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direct lending entities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5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investments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120"/>
        <w:jc w:val="both"/>
        <w:rPr>
          <w:rFonts w:ascii="Times New Roman;serif" w:hAnsi="Times New Roman;serif"/>
          <w:b w:val="false"/>
          <w:i/>
          <w:color w:val="000000"/>
          <w:sz w:val="20"/>
        </w:rPr>
      </w:pPr>
      <w:r>
        <w:rPr>
          <w:rFonts w:ascii="Times New Roman;serif" w:hAnsi="Times New Roman;serif"/>
          <w:b w:val="false"/>
          <w:i/>
          <w:color w:val="000000"/>
          <w:sz w:val="20"/>
        </w:rPr>
        <w:t>Equity Securities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Equity securities include privately held equity investments in common and preferred stocks. The Company's privately held equity investments in common and preferred stocks are direct investments in companies that the Company believes offer attractive risk adjusted returns or offer other strategic advantages. Each investment may have its own unique terms and conditions and there may be restrictions on disposals. There is no active market for these investments. </w:t>
      </w:r>
    </w:p>
    <w:p>
      <w:pPr>
        <w:pStyle w:val="TextBody"/>
        <w:bidi w:val="0"/>
        <w:spacing w:lineRule="auto" w:line="240" w:before="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cost and fair values of the equity securities held at September 30, 2025:</w:t>
      </w:r>
    </w:p>
    <w:tbl>
      <w:tblPr>
        <w:tblW w:w="5797" w:type="dxa"/>
        <w:jc w:val="left"/>
        <w:tblInd w:w="0" w:type="dxa"/>
        <w:tblLayout w:type="fixed"/>
        <w:tblCellMar>
          <w:top w:w="28" w:type="dxa"/>
          <w:left w:w="28" w:type="dxa"/>
          <w:bottom w:w="28" w:type="dxa"/>
          <w:right w:w="28" w:type="dxa"/>
        </w:tblCellMar>
      </w:tblPr>
      <w:tblGrid>
        <w:gridCol w:w="934"/>
        <w:gridCol w:w="820"/>
        <w:gridCol w:w="826"/>
        <w:gridCol w:w="109"/>
        <w:gridCol w:w="109"/>
        <w:gridCol w:w="109"/>
        <w:gridCol w:w="211"/>
        <w:gridCol w:w="721"/>
        <w:gridCol w:w="109"/>
        <w:gridCol w:w="109"/>
        <w:gridCol w:w="109"/>
        <w:gridCol w:w="109"/>
        <w:gridCol w:w="211"/>
        <w:gridCol w:w="721"/>
        <w:gridCol w:w="109"/>
        <w:gridCol w:w="109"/>
        <w:gridCol w:w="109"/>
        <w:gridCol w:w="109"/>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common stocks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preferred stocks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258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 securities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11,145 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11,350 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All privately held securities held at September 30, 2025 are subject to contractual sale restrictions. Each of these investments are subject to agreements that restrict the transfer, sale, and indemnification of these privately held investments indefinitely. The Company must hold these shares indefinitely unless the investee's shares are registered with the SEC and qualified by state authorities, or until an exemption from such registration and qualification requirements may become available. </w:t>
      </w:r>
    </w:p>
    <w:tbl>
      <w:tblPr>
        <w:tblW w:w="10205" w:type="dxa"/>
        <w:jc w:val="left"/>
        <w:tblInd w:w="0" w:type="dxa"/>
        <w:tblLayout w:type="fixed"/>
        <w:tblCellMar>
          <w:top w:w="28" w:type="dxa"/>
          <w:left w:w="28" w:type="dxa"/>
          <w:bottom w:w="28" w:type="dxa"/>
          <w:right w:w="28" w:type="dxa"/>
        </w:tblCellMar>
      </w:tblPr>
      <w:tblGrid>
        <w:gridCol w:w="923"/>
        <w:gridCol w:w="658"/>
        <w:gridCol w:w="663"/>
        <w:gridCol w:w="109"/>
        <w:gridCol w:w="109"/>
        <w:gridCol w:w="109"/>
        <w:gridCol w:w="211"/>
        <w:gridCol w:w="721"/>
        <w:gridCol w:w="109"/>
        <w:gridCol w:w="109"/>
        <w:gridCol w:w="109"/>
        <w:gridCol w:w="109"/>
        <w:gridCol w:w="486"/>
        <w:gridCol w:w="486"/>
        <w:gridCol w:w="487"/>
        <w:gridCol w:w="109"/>
        <w:gridCol w:w="109"/>
        <w:gridCol w:w="109"/>
        <w:gridCol w:w="623"/>
        <w:gridCol w:w="623"/>
        <w:gridCol w:w="625"/>
        <w:gridCol w:w="109"/>
        <w:gridCol w:w="109"/>
        <w:gridCol w:w="109"/>
        <w:gridCol w:w="666"/>
        <w:gridCol w:w="666"/>
        <w:gridCol w:w="950"/>
      </w:tblGrid>
      <w:tr>
        <w:trPr/>
        <w:tc>
          <w:tcPr>
            <w:tcW w:w="92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2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 duration of restrictions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Nature of contractual sale restrictions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Circumstances that could cause a lapse in restrictions</w:t>
            </w:r>
          </w:p>
        </w:tc>
      </w:tr>
      <w:tr>
        <w:trPr/>
        <w:tc>
          <w:tcPr>
            <w:tcW w:w="224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common stocks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Indefinite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The Purchaser must hold the restricted shares indefinitely </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Registration of securities with the SEC or if exemption is available</w:t>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preferred stocks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Purchaser must hold the restricted shares indefinitely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Registration of securities with the SEC or if exemption is available</w:t>
            </w:r>
          </w:p>
        </w:tc>
      </w:tr>
      <w:tr>
        <w:trPr/>
        <w:tc>
          <w:tcPr>
            <w:tcW w:w="2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224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equity securities subject to contractual sale restrictions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11,350 </w:t>
            </w:r>
          </w:p>
        </w:tc>
        <w:tc>
          <w:tcPr>
            <w:tcW w:w="109"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4. Investments (continued)</w:t>
      </w:r>
    </w:p>
    <w:p>
      <w:pPr>
        <w:pStyle w:val="TextBody"/>
        <w:bidi w:val="0"/>
        <w:spacing w:lineRule="auto" w:line="240" w:before="0" w:after="120"/>
        <w:jc w:val="both"/>
        <w:rPr>
          <w:rFonts w:ascii="Times New Roman;serif" w:hAnsi="Times New Roman;serif"/>
          <w:b w:val="false"/>
          <w:i/>
          <w:color w:val="000000"/>
          <w:sz w:val="20"/>
        </w:rPr>
      </w:pPr>
      <w:r>
        <w:rPr>
          <w:rFonts w:ascii="Times New Roman;serif" w:hAnsi="Times New Roman;serif"/>
          <w:b w:val="false"/>
          <w:i/>
          <w:color w:val="000000"/>
          <w:sz w:val="20"/>
        </w:rPr>
        <w:t>Equity Method Investments</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equity method investments currently include real estate investments accounted for under the equity method and other investments measured at fair value. The table below shows the total value of the Company's equity method investments as of September 30, 2025 including those classified as other investments under the fair value option:</w:t>
      </w:r>
    </w:p>
    <w:tbl>
      <w:tblPr>
        <w:tblW w:w="10205" w:type="dxa"/>
        <w:jc w:val="left"/>
        <w:tblInd w:w="0" w:type="dxa"/>
        <w:tblLayout w:type="fixed"/>
        <w:tblCellMar>
          <w:top w:w="28" w:type="dxa"/>
          <w:left w:w="28" w:type="dxa"/>
          <w:bottom w:w="28" w:type="dxa"/>
          <w:right w:w="28" w:type="dxa"/>
        </w:tblCellMar>
      </w:tblPr>
      <w:tblGrid>
        <w:gridCol w:w="2286"/>
        <w:gridCol w:w="2001"/>
        <w:gridCol w:w="2002"/>
        <w:gridCol w:w="109"/>
        <w:gridCol w:w="109"/>
        <w:gridCol w:w="109"/>
        <w:gridCol w:w="109"/>
        <w:gridCol w:w="109"/>
        <w:gridCol w:w="223"/>
        <w:gridCol w:w="891"/>
        <w:gridCol w:w="114"/>
        <w:gridCol w:w="109"/>
        <w:gridCol w:w="109"/>
        <w:gridCol w:w="109"/>
        <w:gridCol w:w="314"/>
        <w:gridCol w:w="317"/>
        <w:gridCol w:w="482"/>
        <w:gridCol w:w="109"/>
        <w:gridCol w:w="109"/>
        <w:gridCol w:w="109"/>
        <w:gridCol w:w="109"/>
        <w:gridCol w:w="109"/>
        <w:gridCol w:w="158"/>
      </w:tblGrid>
      <w:tr>
        <w:trPr/>
        <w:tc>
          <w:tcPr>
            <w:tcW w:w="2286"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at equity method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32,518 </w:t>
            </w:r>
          </w:p>
        </w:tc>
        <w:tc>
          <w:tcPr>
            <w:tcW w:w="11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48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360"/>
              <w:jc w:val="left"/>
              <w:rPr>
                <w:sz w:val="4"/>
                <w:szCs w:val="4"/>
              </w:rPr>
            </w:pPr>
            <w:r>
              <w:rPr>
                <w:sz w:val="4"/>
                <w:szCs w:val="4"/>
              </w:rPr>
            </w:r>
          </w:p>
        </w:tc>
      </w:tr>
      <w:tr>
        <w:trPr/>
        <w:tc>
          <w:tcPr>
            <w:tcW w:w="6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 method investments accounted for under the Equity 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32,518</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w:t>
            </w:r>
            <w:r>
              <w:rPr>
                <w:color w:val="000000"/>
              </w:rPr>
              <w:t> </w:t>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360"/>
              <w:jc w:val="left"/>
              <w:rPr>
                <w:sz w:val="4"/>
                <w:szCs w:val="4"/>
              </w:rPr>
            </w:pPr>
            <w:r>
              <w:rPr>
                <w:sz w:val="4"/>
                <w:szCs w:val="4"/>
              </w:rPr>
            </w:r>
          </w:p>
        </w:tc>
      </w:tr>
      <w:tr>
        <w:trPr/>
        <w:tc>
          <w:tcPr>
            <w:tcW w:w="628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at fair value option elected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46,000 </w:t>
            </w:r>
          </w:p>
        </w:tc>
        <w:tc>
          <w:tcPr>
            <w:tcW w:w="11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48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360"/>
              <w:jc w:val="left"/>
              <w:rPr>
                <w:sz w:val="4"/>
                <w:szCs w:val="4"/>
              </w:rPr>
            </w:pPr>
            <w:r>
              <w:rPr>
                <w:sz w:val="4"/>
                <w:szCs w:val="4"/>
              </w:rPr>
            </w:r>
          </w:p>
        </w:tc>
      </w:tr>
      <w:tr>
        <w:trPr/>
        <w:tc>
          <w:tcPr>
            <w:tcW w:w="6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equity method investments at fair value option elected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360"/>
              <w:jc w:val="left"/>
              <w:rPr>
                <w:sz w:val="4"/>
                <w:szCs w:val="4"/>
              </w:rPr>
            </w:pPr>
            <w:r>
              <w:rPr>
                <w:sz w:val="4"/>
                <w:szCs w:val="4"/>
              </w:rPr>
            </w:r>
          </w:p>
        </w:tc>
      </w:tr>
      <w:tr>
        <w:trPr/>
        <w:tc>
          <w:tcPr>
            <w:tcW w:w="628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 method investments with fair value option (included in Other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74,611</w:t>
            </w:r>
            <w:r>
              <w:rPr>
                <w:color w:val="000000"/>
              </w:rPr>
              <w:t> </w:t>
            </w:r>
          </w:p>
        </w:tc>
        <w:tc>
          <w:tcPr>
            <w:tcW w:w="11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69.6</w:t>
            </w:r>
            <w:r>
              <w:rPr>
                <w:color w:val="000000"/>
              </w:rPr>
              <w:t> </w:t>
            </w:r>
          </w:p>
        </w:tc>
        <w:tc>
          <w:tcPr>
            <w:tcW w:w="48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360"/>
              <w:jc w:val="left"/>
              <w:rPr>
                <w:sz w:val="4"/>
                <w:szCs w:val="4"/>
              </w:rPr>
            </w:pPr>
            <w:r>
              <w:rPr>
                <w:sz w:val="4"/>
                <w:szCs w:val="4"/>
              </w:rPr>
            </w:r>
          </w:p>
        </w:tc>
      </w:tr>
      <w:tr>
        <w:trPr/>
        <w:tc>
          <w:tcPr>
            <w:tcW w:w="6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107,129</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pPr>
      <w:r>
        <w:rPr>
          <w:rFonts w:ascii="Times New Roman;serif" w:hAnsi="Times New Roman;serif"/>
          <w:b w:val="false"/>
          <w:color w:val="000000"/>
          <w:sz w:val="20"/>
          <w:shd w:fill="FFFFFF" w:val="clear"/>
        </w:rPr>
        <w:t xml:space="preserve">The equity method investments above include limited partnerships which are variable interests issued by variable interest entities ("VIEs"). </w:t>
      </w:r>
      <w:r>
        <w:rPr>
          <w:rFonts w:ascii="Times New Roman;serif" w:hAnsi="Times New Roman;serif"/>
          <w:b w:val="false"/>
          <w:color w:val="000000"/>
          <w:sz w:val="20"/>
        </w:rPr>
        <w:t xml:space="preserve">The Company is not the primary beneficiary of these VIEs as it does not have the power to direct the activities that are most significant to the economic performance of these VIEs. </w:t>
      </w:r>
      <w:r>
        <w:rPr>
          <w:rFonts w:ascii="sans-serif" w:hAnsi="sans-serif"/>
          <w:b w:val="false"/>
          <w:color w:val="44546A"/>
          <w:sz w:val="22"/>
        </w:rPr>
        <w:t>T</w:t>
      </w:r>
      <w:r>
        <w:rPr>
          <w:rFonts w:ascii="Times New Roman;serif" w:hAnsi="Times New Roman;serif"/>
          <w:b w:val="false"/>
          <w:color w:val="000000"/>
          <w:sz w:val="20"/>
          <w:shd w:fill="FFFFFF" w:val="clear"/>
        </w:rPr>
        <w:t>he Company is deemed to have</w:t>
      </w:r>
      <w:r>
        <w:rPr>
          <w:color w:val="000000"/>
        </w:rPr>
        <w:t xml:space="preserve"> </w:t>
      </w:r>
      <w:r>
        <w:rPr>
          <w:rFonts w:ascii="Times New Roman;serif" w:hAnsi="Times New Roman;serif"/>
          <w:b w:val="false"/>
          <w:color w:val="000000"/>
          <w:sz w:val="20"/>
        </w:rPr>
        <w:t>limited influence</w:t>
      </w:r>
      <w:r>
        <w:rPr>
          <w:color w:val="000000"/>
          <w:shd w:fill="FFFFFF" w:val="clear"/>
        </w:rPr>
        <w:t xml:space="preserve"> </w:t>
      </w:r>
      <w:r>
        <w:rPr>
          <w:rFonts w:ascii="Times New Roman;serif" w:hAnsi="Times New Roman;serif"/>
          <w:b w:val="false"/>
          <w:color w:val="000000"/>
          <w:sz w:val="20"/>
          <w:shd w:fill="FFFFFF" w:val="clear"/>
        </w:rPr>
        <w:t>over the operating and financial policies of the investee and accordingly, these investments are reported under the equity method of accounting. In applying the equity method of accounting, the investments are initially recorded at cost and are subsequently adjusted based on the Company’s proportionate share of the investee's net income or loss. Generally, the maximum exposure to loss on these interests is limited to the amount of commitment made by the Company as</w:t>
      </w:r>
      <w:r>
        <w:rPr>
          <w:color w:val="000000"/>
        </w:rPr>
        <w:t xml:space="preserve"> </w:t>
      </w:r>
      <w:r>
        <w:rPr>
          <w:rFonts w:ascii="Times New Roman;serif" w:hAnsi="Times New Roman;serif"/>
          <w:b w:val="false"/>
          <w:color w:val="000000"/>
          <w:sz w:val="20"/>
        </w:rPr>
        <w:t xml:space="preserve">more fully described in </w:t>
      </w:r>
      <w:r>
        <w:rPr>
          <w:rFonts w:ascii="Times New Roman;serif" w:hAnsi="Times New Roman;serif"/>
          <w:b w:val="false"/>
          <w:i/>
          <w:color w:val="000000"/>
          <w:sz w:val="20"/>
        </w:rPr>
        <w:t>"Note 11 - Commitments, Contingencies and Guarantees"</w:t>
      </w:r>
      <w:r>
        <w:rPr>
          <w:color w:val="000000"/>
        </w:rPr>
        <w:t xml:space="preserve"> </w:t>
      </w:r>
      <w:r>
        <w:rPr>
          <w:rFonts w:ascii="Times New Roman;serif" w:hAnsi="Times New Roman;serif"/>
          <w:b w:val="false"/>
          <w:color w:val="000000"/>
          <w:sz w:val="20"/>
        </w:rPr>
        <w:t>in these condensed consolidated financial statements.</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ASC 825-10: Financial Instruments</w:t>
      </w:r>
      <w:r>
        <w:rPr>
          <w:color w:val="000000"/>
        </w:rPr>
        <w:t xml:space="preserve"> </w:t>
      </w:r>
      <w:r>
        <w:rPr>
          <w:rFonts w:ascii="Times New Roman;serif" w:hAnsi="Times New Roman;serif"/>
          <w:b w:val="false"/>
          <w:color w:val="000000"/>
          <w:sz w:val="20"/>
        </w:rPr>
        <w:t>provides a measurement basis election for most financial instruments using a choice of either historical cost or fair value, including equity method investments, allowing reporting entities to mitigate potential mismatches that arise under the current mixed measurement attribute model. As a result of the Combination on May 27, 2025, the assets and liabilities of Maiden were recorded at their fair values measured as of the acquisition date. The Company has elected the fair value option for certain of its equity method investments, and these investments are reported at their fair values as of September 30, 2025.</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table below shows the carrying/fair values and beneficial ownership percentage of the Company's equity method investments, including those measured using the fair value option and reported in other investments, as of September 30, 2025, the summarized financial data of each equity method investment for the nine months ended September 30, 2025 and the Company's realized and unrealized gains (losses) on these investments for the nine months ended September 30, 2025:</w:t>
      </w:r>
    </w:p>
    <w:tbl>
      <w:tblPr>
        <w:tblW w:w="10205" w:type="dxa"/>
        <w:jc w:val="left"/>
        <w:tblInd w:w="0" w:type="dxa"/>
        <w:tblLayout w:type="fixed"/>
        <w:tblCellMar>
          <w:top w:w="28" w:type="dxa"/>
          <w:left w:w="28" w:type="dxa"/>
          <w:bottom w:w="28" w:type="dxa"/>
          <w:right w:w="28" w:type="dxa"/>
        </w:tblCellMar>
      </w:tblPr>
      <w:tblGrid>
        <w:gridCol w:w="647"/>
        <w:gridCol w:w="523"/>
        <w:gridCol w:w="525"/>
        <w:gridCol w:w="109"/>
        <w:gridCol w:w="109"/>
        <w:gridCol w:w="109"/>
        <w:gridCol w:w="216"/>
        <w:gridCol w:w="848"/>
        <w:gridCol w:w="111"/>
        <w:gridCol w:w="109"/>
        <w:gridCol w:w="109"/>
        <w:gridCol w:w="109"/>
        <w:gridCol w:w="332"/>
        <w:gridCol w:w="251"/>
        <w:gridCol w:w="628"/>
        <w:gridCol w:w="109"/>
        <w:gridCol w:w="109"/>
        <w:gridCol w:w="109"/>
        <w:gridCol w:w="109"/>
        <w:gridCol w:w="109"/>
        <w:gridCol w:w="252"/>
        <w:gridCol w:w="736"/>
        <w:gridCol w:w="130"/>
        <w:gridCol w:w="130"/>
        <w:gridCol w:w="130"/>
        <w:gridCol w:w="130"/>
        <w:gridCol w:w="289"/>
        <w:gridCol w:w="844"/>
        <w:gridCol w:w="148"/>
        <w:gridCol w:w="109"/>
        <w:gridCol w:w="109"/>
        <w:gridCol w:w="109"/>
        <w:gridCol w:w="387"/>
        <w:gridCol w:w="1131"/>
        <w:gridCol w:w="291"/>
      </w:tblGrid>
      <w:tr>
        <w:trPr/>
        <w:tc>
          <w:tcPr>
            <w:tcW w:w="64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Nine Months Ended September 30, 2025</w:t>
            </w:r>
          </w:p>
        </w:tc>
      </w:tr>
      <w:tr>
        <w:trPr/>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Beneficial Ownership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Investee Revenue</w:t>
            </w:r>
            <w:r>
              <w:rPr>
                <w:rFonts w:ascii="Times New Roman;serif" w:hAnsi="Times New Roman;serif"/>
                <w:b/>
                <w:color w:val="000000"/>
                <w:sz w:val="10"/>
              </w:rPr>
              <w:t>(1)</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Investee net income (loss)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Realized and unrealized gains (losses)</w:t>
            </w:r>
            <w:r>
              <w:rPr>
                <w:rFonts w:ascii="Times New Roman;serif" w:hAnsi="Times New Roman;serif"/>
                <w:b/>
                <w:color w:val="000000"/>
                <w:sz w:val="10"/>
              </w:rPr>
              <w:t>(2)(3)</w:t>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Silverstone Venture 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3,113 </w:t>
            </w:r>
          </w:p>
        </w:tc>
        <w:tc>
          <w:tcPr>
            <w:tcW w:w="11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62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3,461 </w:t>
            </w:r>
          </w:p>
        </w:tc>
        <w:tc>
          <w:tcPr>
            <w:tcW w:w="13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4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29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Silverstone Venture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Silverstone Venture 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20,994 </w:t>
            </w:r>
          </w:p>
        </w:tc>
        <w:tc>
          <w:tcPr>
            <w:tcW w:w="11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62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2,193 </w:t>
            </w:r>
          </w:p>
        </w:tc>
        <w:tc>
          <w:tcPr>
            <w:tcW w:w="29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Extell Hudson Waterfront 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Seiden LP &amp; Seiden MGMT LP</w:t>
            </w:r>
            <w:r>
              <w:rPr>
                <w:rFonts w:ascii="Times New Roman;serif" w:hAnsi="Times New Roman;serif"/>
                <w:b w:val="false"/>
                <w:color w:val="000000"/>
                <w:sz w:val="13"/>
              </w:rPr>
              <w:t>(3)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32,518 </w:t>
            </w:r>
          </w:p>
        </w:tc>
        <w:tc>
          <w:tcPr>
            <w:tcW w:w="11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628"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3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91" w:type="dxa"/>
            <w:tcBorders/>
            <w:shd w:fill="CCFFCC"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107,129 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60"/>
        <w:ind w:left="0" w:right="0" w:hanging="180"/>
        <w:jc w:val="both"/>
        <w:rPr/>
      </w:pPr>
      <w:r>
        <w:rPr>
          <w:rFonts w:ascii="Times New Roman;serif" w:hAnsi="Times New Roman;serif"/>
          <w:b w:val="false"/>
          <w:color w:val="000000"/>
          <w:sz w:val="16"/>
          <w:shd w:fill="FFFFFF" w:val="clear"/>
        </w:rPr>
        <w:t>1.The Company inclu</w:t>
      </w:r>
      <w:r>
        <w:rPr>
          <w:rFonts w:ascii="Times New Roman;serif" w:hAnsi="Times New Roman;serif"/>
          <w:b w:val="false"/>
          <w:color w:val="000000"/>
          <w:sz w:val="16"/>
        </w:rPr>
        <w:t>ded summarized financial data of its equity method investees as reported at June 30, 2025 as this period represents the most recent audited financial statements available at the time of filing the Company's Form 10-Q for the three and nine months ended September 30, 2025.</w:t>
      </w:r>
    </w:p>
    <w:p>
      <w:pPr>
        <w:pStyle w:val="TextBody"/>
        <w:bidi w:val="0"/>
        <w:spacing w:lineRule="auto" w:line="240" w:before="0" w:after="6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2.Fair value adjustments have been recorded under realized and unrealized gains (losses) for those equity method investments reported at fair value. Investment results for equity method investments only include the post-combination period of May 28, 2025 to September 30, 2025</w:t>
      </w:r>
    </w:p>
    <w:p>
      <w:pPr>
        <w:pStyle w:val="TextBody"/>
        <w:bidi w:val="0"/>
        <w:spacing w:lineRule="auto" w:line="240" w:before="0" w:after="6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3.Seiden LP and Seiden MGMT LP are measured using equity method accounting at September 30, 2025. The interest in loss of equity method investments has been recorded on its own line item on the income statement and not within realized and unrealized gains (losses).</w:t>
      </w:r>
    </w:p>
    <w:p>
      <w:pPr>
        <w:pStyle w:val="TextBody"/>
        <w:bidi w:val="0"/>
        <w:spacing w:before="0" w:after="60"/>
        <w:ind w:left="0" w:right="0" w:firstLine="180"/>
        <w:jc w:val="both"/>
        <w:rPr/>
      </w:pPr>
      <w:r>
        <w:rPr/>
      </w:r>
    </w:p>
    <w:p>
      <w:pPr>
        <w:pStyle w:val="TextBody"/>
        <w:bidi w:val="0"/>
        <w:spacing w:before="0" w:after="60"/>
        <w:ind w:left="0" w:right="0" w:firstLine="180"/>
        <w:jc w:val="both"/>
        <w:rPr/>
      </w:pPr>
      <w:r>
        <w:rPr/>
      </w:r>
    </w:p>
    <w:p>
      <w:pPr>
        <w:pStyle w:val="TextBody"/>
        <w:bidi w:val="0"/>
        <w:spacing w:before="0" w:after="12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ind w:left="0" w:right="0" w:firstLine="180"/>
        <w:jc w:val="both"/>
        <w:rPr>
          <w:rFonts w:ascii="Times New Roman;serif" w:hAnsi="Times New Roman;serif"/>
          <w:b/>
          <w:color w:val="000000"/>
          <w:sz w:val="20"/>
        </w:rPr>
      </w:pPr>
      <w:r>
        <w:rPr>
          <w:rFonts w:ascii="Times New Roman;serif" w:hAnsi="Times New Roman;serif"/>
          <w:b/>
          <w:color w:val="000000"/>
          <w:sz w:val="20"/>
        </w:rPr>
        <w:t>4. Investments (continued)</w:t>
      </w:r>
    </w:p>
    <w:p>
      <w:pPr>
        <w:pStyle w:val="TextBody"/>
        <w:bidi w:val="0"/>
        <w:spacing w:lineRule="auto" w:line="240" w:before="0" w:after="120"/>
        <w:ind w:left="0" w:right="0" w:hanging="270"/>
        <w:jc w:val="left"/>
        <w:rPr>
          <w:rFonts w:ascii="Times New Roman;serif" w:hAnsi="Times New Roman;serif"/>
          <w:b/>
          <w:i/>
          <w:color w:val="000000"/>
          <w:sz w:val="20"/>
        </w:rPr>
      </w:pPr>
      <w:r>
        <w:rPr>
          <w:rFonts w:ascii="Times New Roman;serif" w:hAnsi="Times New Roman;serif"/>
          <w:b/>
          <w:i/>
          <w:color w:val="000000"/>
          <w:sz w:val="20"/>
        </w:rPr>
        <w:t xml:space="preserve">c)Net Investment Income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investment income was derived from the following sources for the three and nine months ended September 30, 2025 and 2024: </w:t>
      </w:r>
    </w:p>
    <w:tbl>
      <w:tblPr>
        <w:tblW w:w="10205" w:type="dxa"/>
        <w:jc w:val="left"/>
        <w:tblInd w:w="0" w:type="dxa"/>
        <w:tblLayout w:type="fixed"/>
        <w:tblCellMar>
          <w:top w:w="28" w:type="dxa"/>
          <w:left w:w="28" w:type="dxa"/>
          <w:bottom w:w="28" w:type="dxa"/>
          <w:right w:w="28" w:type="dxa"/>
        </w:tblCellMar>
      </w:tblPr>
      <w:tblGrid>
        <w:gridCol w:w="1376"/>
        <w:gridCol w:w="1144"/>
        <w:gridCol w:w="1150"/>
        <w:gridCol w:w="109"/>
        <w:gridCol w:w="109"/>
        <w:gridCol w:w="109"/>
        <w:gridCol w:w="311"/>
        <w:gridCol w:w="912"/>
        <w:gridCol w:w="161"/>
        <w:gridCol w:w="161"/>
        <w:gridCol w:w="161"/>
        <w:gridCol w:w="161"/>
        <w:gridCol w:w="311"/>
        <w:gridCol w:w="600"/>
        <w:gridCol w:w="161"/>
        <w:gridCol w:w="109"/>
        <w:gridCol w:w="109"/>
        <w:gridCol w:w="109"/>
        <w:gridCol w:w="296"/>
        <w:gridCol w:w="864"/>
        <w:gridCol w:w="152"/>
        <w:gridCol w:w="152"/>
        <w:gridCol w:w="152"/>
        <w:gridCol w:w="152"/>
        <w:gridCol w:w="296"/>
        <w:gridCol w:w="653"/>
        <w:gridCol w:w="225"/>
      </w:tblGrid>
      <w:tr>
        <w:trPr/>
        <w:tc>
          <w:tcPr>
            <w:tcW w:w="137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6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5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on funds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67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from net loan receivable from AmTrust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6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2,263 </w:t>
            </w:r>
          </w:p>
        </w:tc>
        <w:tc>
          <w:tcPr>
            <w:tcW w:w="15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67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6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5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Investment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6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Net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20"/>
        <w:jc w:val="both"/>
        <w:rPr/>
      </w:pPr>
      <w:r>
        <w:rPr/>
      </w:r>
    </w:p>
    <w:p>
      <w:pPr>
        <w:pStyle w:val="TextBody"/>
        <w:bidi w:val="0"/>
        <w:spacing w:lineRule="auto" w:line="240" w:before="100" w:after="120"/>
        <w:ind w:left="0" w:right="0" w:hanging="270"/>
        <w:jc w:val="left"/>
        <w:rPr/>
      </w:pPr>
      <w:r>
        <w:rPr>
          <w:rFonts w:ascii="Times New Roman;serif" w:hAnsi="Times New Roman;serif"/>
          <w:b/>
          <w:i/>
          <w:color w:val="000000"/>
          <w:sz w:val="20"/>
        </w:rPr>
        <w:t>d)</w:t>
      </w:r>
      <w:r>
        <w:rPr>
          <w:color w:val="000000"/>
        </w:rPr>
        <w:t xml:space="preserve"> </w:t>
      </w:r>
      <w:r>
        <w:rPr>
          <w:rFonts w:ascii="Times New Roman;serif" w:hAnsi="Times New Roman;serif"/>
          <w:b/>
          <w:i/>
          <w:color w:val="000000"/>
          <w:sz w:val="20"/>
        </w:rPr>
        <w:t>Net Realized and Unrealized Investment Gains (Losses)</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Realized gains or losses on the sale of investments are determined on the basis of the first in first out cost method. The following tables show the net realized and unrealized investment gains (losses) included in the Condensed Consolidated Statements of Income for the three and nine months ended September 30, 2025:</w:t>
      </w:r>
    </w:p>
    <w:tbl>
      <w:tblPr>
        <w:tblW w:w="8462" w:type="dxa"/>
        <w:jc w:val="left"/>
        <w:tblInd w:w="0" w:type="dxa"/>
        <w:tblLayout w:type="fixed"/>
        <w:tblCellMar>
          <w:top w:w="28" w:type="dxa"/>
          <w:left w:w="28" w:type="dxa"/>
          <w:bottom w:w="28" w:type="dxa"/>
          <w:right w:w="28" w:type="dxa"/>
        </w:tblCellMar>
      </w:tblPr>
      <w:tblGrid>
        <w:gridCol w:w="1647"/>
        <w:gridCol w:w="1446"/>
        <w:gridCol w:w="1451"/>
        <w:gridCol w:w="109"/>
        <w:gridCol w:w="109"/>
        <w:gridCol w:w="109"/>
        <w:gridCol w:w="213"/>
        <w:gridCol w:w="622"/>
        <w:gridCol w:w="110"/>
        <w:gridCol w:w="109"/>
        <w:gridCol w:w="109"/>
        <w:gridCol w:w="109"/>
        <w:gridCol w:w="211"/>
        <w:gridCol w:w="691"/>
        <w:gridCol w:w="109"/>
        <w:gridCol w:w="109"/>
        <w:gridCol w:w="109"/>
        <w:gridCol w:w="109"/>
        <w:gridCol w:w="211"/>
        <w:gridCol w:w="616"/>
        <w:gridCol w:w="154"/>
      </w:tblGrid>
      <w:tr>
        <w:trPr/>
        <w:tc>
          <w:tcPr>
            <w:tcW w:w="164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454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1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5,376 </w:t>
            </w:r>
          </w:p>
        </w:tc>
        <w:tc>
          <w:tcPr>
            <w:tcW w:w="11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4,711 </w:t>
            </w:r>
          </w:p>
        </w:tc>
        <w:tc>
          <w:tcPr>
            <w:tcW w:w="154"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realized and unrealized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454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1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5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5,888 </w:t>
            </w:r>
          </w:p>
        </w:tc>
        <w:tc>
          <w:tcPr>
            <w:tcW w:w="11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4,959 </w:t>
            </w:r>
          </w:p>
        </w:tc>
        <w:tc>
          <w:tcPr>
            <w:tcW w:w="154"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realized and unrealized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Realized and unrealized gains and losses from equity securities detailed above include both sales and distributions of equity securities and unrealized gains and losses coming from fair value changes. Net unrealized gains recognized for equity securities still held at the reporting date for the three and nine months ended September 30, 2025, respectively, included:</w:t>
      </w:r>
    </w:p>
    <w:tbl>
      <w:tblPr>
        <w:tblW w:w="10205" w:type="dxa"/>
        <w:jc w:val="left"/>
        <w:tblInd w:w="0" w:type="dxa"/>
        <w:tblLayout w:type="fixed"/>
        <w:tblCellMar>
          <w:top w:w="28" w:type="dxa"/>
          <w:left w:w="28" w:type="dxa"/>
          <w:bottom w:w="28" w:type="dxa"/>
          <w:right w:w="28" w:type="dxa"/>
        </w:tblCellMar>
      </w:tblPr>
      <w:tblGrid>
        <w:gridCol w:w="1560"/>
        <w:gridCol w:w="1371"/>
        <w:gridCol w:w="1374"/>
        <w:gridCol w:w="109"/>
        <w:gridCol w:w="109"/>
        <w:gridCol w:w="109"/>
        <w:gridCol w:w="433"/>
        <w:gridCol w:w="957"/>
        <w:gridCol w:w="223"/>
        <w:gridCol w:w="223"/>
        <w:gridCol w:w="223"/>
        <w:gridCol w:w="223"/>
        <w:gridCol w:w="109"/>
        <w:gridCol w:w="2127"/>
        <w:gridCol w:w="211"/>
        <w:gridCol w:w="466"/>
        <w:gridCol w:w="109"/>
        <w:gridCol w:w="109"/>
        <w:gridCol w:w="160"/>
      </w:tblGrid>
      <w:tr>
        <w:trPr/>
        <w:tc>
          <w:tcPr>
            <w:tcW w:w="15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127"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1055" w:type="dxa"/>
            <w:gridSpan w:val="5"/>
            <w:tcBorders/>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gains recognized for equity securities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2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gains recognized for equity securities divested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Net unrealized gains recognized for equity securities still held at the reporting date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2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Proceeds from sales of AFS fixed maturity investments were $7,878 and $15,190 for the three and nine months ended September 30, 2025, respectively. </w:t>
      </w:r>
    </w:p>
    <w:p>
      <w:pPr>
        <w:pStyle w:val="TextBody"/>
        <w:bidi w:val="0"/>
        <w:spacing w:before="120" w:after="120"/>
        <w:ind w:left="0" w:right="0" w:firstLine="270"/>
        <w:jc w:val="both"/>
        <w:rPr/>
      </w:pPr>
      <w:r>
        <w:rPr/>
      </w:r>
    </w:p>
    <w:p>
      <w:pPr>
        <w:pStyle w:val="TextBody"/>
        <w:bidi w:val="0"/>
        <w:spacing w:before="120" w:after="120"/>
        <w:ind w:left="0" w:right="0" w:firstLine="270"/>
        <w:jc w:val="both"/>
        <w:rPr/>
      </w:pPr>
      <w:r>
        <w:rPr/>
      </w:r>
    </w:p>
    <w:p>
      <w:pPr>
        <w:pStyle w:val="TextBody"/>
        <w:bidi w:val="0"/>
        <w:spacing w:before="10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100" w:after="120"/>
        <w:jc w:val="both"/>
        <w:rPr>
          <w:rFonts w:ascii="Times New Roman;serif" w:hAnsi="Times New Roman;serif"/>
          <w:b/>
          <w:color w:val="000000"/>
          <w:sz w:val="20"/>
        </w:rPr>
      </w:pPr>
      <w:r>
        <w:rPr>
          <w:rFonts w:ascii="Times New Roman;serif" w:hAnsi="Times New Roman;serif"/>
          <w:b/>
          <w:color w:val="000000"/>
          <w:sz w:val="20"/>
        </w:rPr>
        <w:t>4. Investments (continued)</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unrealized gains included in accumulated other comprehensive income ("AOCI") were as follows at September 30, 2025: </w:t>
      </w:r>
    </w:p>
    <w:tbl>
      <w:tblPr>
        <w:tblW w:w="6664" w:type="dxa"/>
        <w:jc w:val="center"/>
        <w:tblInd w:w="0" w:type="dxa"/>
        <w:tblLayout w:type="fixed"/>
        <w:tblCellMar>
          <w:top w:w="28" w:type="dxa"/>
          <w:left w:w="28" w:type="dxa"/>
          <w:bottom w:w="28" w:type="dxa"/>
          <w:right w:w="28" w:type="dxa"/>
        </w:tblCellMar>
      </w:tblPr>
      <w:tblGrid>
        <w:gridCol w:w="1641"/>
        <w:gridCol w:w="1442"/>
        <w:gridCol w:w="1447"/>
        <w:gridCol w:w="109"/>
        <w:gridCol w:w="109"/>
        <w:gridCol w:w="109"/>
        <w:gridCol w:w="413"/>
        <w:gridCol w:w="915"/>
        <w:gridCol w:w="216"/>
        <w:gridCol w:w="109"/>
        <w:gridCol w:w="154"/>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unrealized gains on fixed maturity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21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unrealized losses on held for sale AFS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453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unrealized losses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21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Deferred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unrealized gains, net of deferred income tax</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21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Change, net of deferred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120"/>
        <w:jc w:val="center"/>
        <w:rPr/>
      </w:pPr>
      <w:r>
        <w:rPr/>
      </w:r>
    </w:p>
    <w:p>
      <w:pPr>
        <w:pStyle w:val="TextBody"/>
        <w:bidi w:val="0"/>
        <w:spacing w:lineRule="auto" w:line="240" w:before="0" w:after="120"/>
        <w:ind w:left="0" w:right="0" w:hanging="270"/>
        <w:jc w:val="left"/>
        <w:rPr>
          <w:rFonts w:ascii="Times New Roman;serif" w:hAnsi="Times New Roman;serif"/>
          <w:b/>
          <w:i/>
          <w:color w:val="000000"/>
          <w:sz w:val="20"/>
        </w:rPr>
      </w:pPr>
      <w:r>
        <w:rPr>
          <w:rFonts w:ascii="Times New Roman;serif" w:hAnsi="Times New Roman;serif"/>
          <w:b/>
          <w:i/>
          <w:color w:val="000000"/>
          <w:sz w:val="20"/>
        </w:rPr>
        <w:t xml:space="preserve">e)Restricted Cash and Cash Equivalents and Investments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is required to provide collateral for its reinsurance liabilities under various reinsurance agreements and utilizes trust accounts to collateralize business with reinsurance counterparties. The assets in trust as collateral are primarily cash and highly rated fixed maturities. The fair values of the Company's restricted assets at September 30, 2025 are:</w:t>
      </w:r>
    </w:p>
    <w:tbl>
      <w:tblPr>
        <w:tblW w:w="10205" w:type="dxa"/>
        <w:jc w:val="left"/>
        <w:tblInd w:w="0" w:type="dxa"/>
        <w:tblLayout w:type="fixed"/>
        <w:tblCellMar>
          <w:top w:w="28" w:type="dxa"/>
          <w:left w:w="28" w:type="dxa"/>
          <w:bottom w:w="28" w:type="dxa"/>
          <w:right w:w="28" w:type="dxa"/>
        </w:tblCellMar>
      </w:tblPr>
      <w:tblGrid>
        <w:gridCol w:w="2956"/>
        <w:gridCol w:w="2566"/>
        <w:gridCol w:w="2581"/>
        <w:gridCol w:w="109"/>
        <w:gridCol w:w="109"/>
        <w:gridCol w:w="109"/>
        <w:gridCol w:w="277"/>
        <w:gridCol w:w="1089"/>
        <w:gridCol w:w="143"/>
        <w:gridCol w:w="109"/>
        <w:gridCol w:w="157"/>
      </w:tblGrid>
      <w:tr>
        <w:trPr/>
        <w:tc>
          <w:tcPr>
            <w:tcW w:w="295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35"/>
              <w:jc w:val="left"/>
              <w:rPr>
                <w:sz w:val="4"/>
                <w:szCs w:val="4"/>
              </w:rPr>
            </w:pPr>
            <w:r>
              <w:rPr>
                <w:sz w:val="4"/>
                <w:szCs w:val="4"/>
              </w:rPr>
            </w:r>
          </w:p>
        </w:tc>
      </w:tr>
      <w:tr>
        <w:trPr/>
        <w:tc>
          <w:tcPr>
            <w:tcW w:w="810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Restricted cash – third party agreements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24,097 </w:t>
            </w:r>
          </w:p>
        </w:tc>
        <w:tc>
          <w:tcPr>
            <w:tcW w:w="14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35"/>
              <w:jc w:val="left"/>
              <w:rPr>
                <w:sz w:val="4"/>
                <w:szCs w:val="4"/>
              </w:rPr>
            </w:pPr>
            <w:r>
              <w:rPr>
                <w:sz w:val="4"/>
                <w:szCs w:val="4"/>
              </w:rPr>
            </w:r>
          </w:p>
        </w:tc>
      </w:tr>
      <w:tr>
        <w:trPr/>
        <w:tc>
          <w:tcPr>
            <w:tcW w:w="8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Restricted cash – related party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35"/>
              <w:jc w:val="left"/>
              <w:rPr>
                <w:sz w:val="4"/>
                <w:szCs w:val="4"/>
              </w:rPr>
            </w:pPr>
            <w:r>
              <w:rPr>
                <w:sz w:val="4"/>
                <w:szCs w:val="4"/>
              </w:rPr>
            </w:r>
          </w:p>
        </w:tc>
      </w:tr>
      <w:tr>
        <w:trPr/>
        <w:tc>
          <w:tcPr>
            <w:tcW w:w="810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restricted cash</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27,634 </w:t>
            </w:r>
          </w:p>
        </w:tc>
        <w:tc>
          <w:tcPr>
            <w:tcW w:w="14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investments – in trust for third party agreements at fair value (amortized cost 2025: $49,330)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03"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investments – in trust for related party agreements at fair value (amortized cost 2025: $142,281)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142,448 </w:t>
            </w:r>
          </w:p>
        </w:tc>
        <w:tc>
          <w:tcPr>
            <w:tcW w:w="14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35"/>
              <w:jc w:val="left"/>
              <w:rPr>
                <w:sz w:val="4"/>
                <w:szCs w:val="4"/>
              </w:rPr>
            </w:pPr>
            <w:r>
              <w:rPr>
                <w:sz w:val="4"/>
                <w:szCs w:val="4"/>
              </w:rPr>
            </w:r>
          </w:p>
        </w:tc>
      </w:tr>
      <w:tr>
        <w:trPr/>
        <w:tc>
          <w:tcPr>
            <w:tcW w:w="8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investments – liability for investments purchased for related party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03"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restricted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183,971 </w:t>
            </w:r>
          </w:p>
        </w:tc>
        <w:tc>
          <w:tcPr>
            <w:tcW w:w="14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Total restricted cash and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211,605 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00" w:after="120"/>
        <w:jc w:val="both"/>
        <w:rPr>
          <w:rFonts w:ascii="Times New Roman;serif" w:hAnsi="Times New Roman;serif"/>
          <w:b/>
          <w:color w:val="000000"/>
          <w:sz w:val="20"/>
        </w:rPr>
      </w:pPr>
      <w:r>
        <w:rPr>
          <w:rFonts w:ascii="Times New Roman;serif" w:hAnsi="Times New Roman;serif"/>
          <w:b/>
          <w:color w:val="000000"/>
          <w:sz w:val="20"/>
        </w:rPr>
        <w:t>5. Fair Value of Financial Instruments</w:t>
      </w:r>
    </w:p>
    <w:p>
      <w:pPr>
        <w:pStyle w:val="TextBody"/>
        <w:bidi w:val="0"/>
        <w:spacing w:lineRule="auto" w:line="240" w:before="0" w:after="120"/>
        <w:ind w:left="0" w:right="0" w:hanging="270"/>
        <w:jc w:val="left"/>
        <w:rPr>
          <w:rFonts w:ascii="Times New Roman;serif" w:hAnsi="Times New Roman;serif"/>
          <w:b/>
          <w:i/>
          <w:color w:val="000000"/>
          <w:sz w:val="20"/>
        </w:rPr>
      </w:pPr>
      <w:r>
        <w:rPr>
          <w:rFonts w:ascii="Times New Roman;serif" w:hAnsi="Times New Roman;serif"/>
          <w:b/>
          <w:i/>
          <w:color w:val="000000"/>
          <w:sz w:val="20"/>
        </w:rPr>
        <w:t>(a) Fair Values of Financial Instruments</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 xml:space="preserve">Fair Value Measurements </w:t>
      </w:r>
      <w:r>
        <w:rPr>
          <w:color w:val="000000"/>
        </w:rPr>
        <w:t xml:space="preserve">— </w:t>
      </w:r>
      <w:r>
        <w:rPr>
          <w:rFonts w:ascii="Times New Roman;serif" w:hAnsi="Times New Roman;serif"/>
          <w:b w:val="false"/>
          <w:color w:val="000000"/>
          <w:sz w:val="20"/>
        </w:rPr>
        <w:t xml:space="preserve">Accounting Standards Codification Topic 820, </w:t>
      </w:r>
      <w:r>
        <w:rPr>
          <w:rFonts w:ascii="Times New Roman;serif" w:hAnsi="Times New Roman;serif"/>
          <w:b w:val="false"/>
          <w:i/>
          <w:color w:val="000000"/>
          <w:sz w:val="20"/>
        </w:rPr>
        <w:t>"Fair Value Measurements and Disclosures"</w:t>
      </w:r>
      <w:r>
        <w:rPr>
          <w:color w:val="000000"/>
        </w:rPr>
        <w:t xml:space="preserve"> </w:t>
      </w:r>
      <w:r>
        <w:rPr>
          <w:rFonts w:ascii="Times New Roman;serif" w:hAnsi="Times New Roman;serif"/>
          <w:b w:val="false"/>
          <w:color w:val="000000"/>
          <w:sz w:val="20"/>
        </w:rPr>
        <w:t>("ASC 820") defines fair value as the price that would be received upon the sale of an asset or paid to transfer a liability in an orderly transaction between open market participants at the measurement date. Additionally, ASC 820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w:t>
      </w:r>
    </w:p>
    <w:p>
      <w:pPr>
        <w:pStyle w:val="TextBody"/>
        <w:bidi w:val="0"/>
        <w:spacing w:lineRule="auto" w:line="240" w:before="0" w:after="120"/>
        <w:ind w:left="0" w:right="0" w:hanging="450"/>
        <w:jc w:val="both"/>
        <w:rPr/>
      </w:pPr>
      <w:r>
        <w:rPr>
          <w:color w:val="000000"/>
        </w:rPr>
        <w:t>•</w:t>
      </w:r>
      <w:r>
        <w:rPr>
          <w:rFonts w:ascii="Times New Roman;serif" w:hAnsi="Times New Roman;serif"/>
          <w:b w:val="false"/>
          <w:i/>
          <w:color w:val="000000"/>
          <w:sz w:val="20"/>
        </w:rPr>
        <w:t>Level 1</w:t>
      </w:r>
      <w:r>
        <w:rPr>
          <w:color w:val="000000"/>
        </w:rPr>
        <w:t> — </w:t>
      </w:r>
      <w:r>
        <w:rPr>
          <w:rFonts w:ascii="Times New Roman;serif" w:hAnsi="Times New Roman;serif"/>
          <w:b w:val="false"/>
          <w:color w:val="000000"/>
          <w:sz w:val="20"/>
        </w:rPr>
        <w:t>Valuations based on unadjusted quoted market prices for identical assets or liabilities that we have the ability to access. Because valuations are based on quoted prices that are readily and regularly available in an active market, valuation of these products does not entail a significant degree of judgment. Examples of assets and liabilities utilizing Level 1 inputs include: U.S. Treasury bonds; and publicly traded equity securities;</w:t>
      </w:r>
    </w:p>
    <w:p>
      <w:pPr>
        <w:pStyle w:val="TextBody"/>
        <w:bidi w:val="0"/>
        <w:spacing w:lineRule="auto" w:line="240" w:before="0" w:after="120"/>
        <w:ind w:left="0" w:right="0" w:hanging="450"/>
        <w:jc w:val="both"/>
        <w:rPr/>
      </w:pPr>
      <w:r>
        <w:rPr>
          <w:color w:val="000000"/>
        </w:rPr>
        <w:t>•</w:t>
      </w:r>
      <w:r>
        <w:rPr>
          <w:rFonts w:ascii="Times New Roman;serif" w:hAnsi="Times New Roman;serif"/>
          <w:b w:val="false"/>
          <w:i/>
          <w:color w:val="000000"/>
          <w:sz w:val="20"/>
        </w:rPr>
        <w:t>Level 2</w:t>
      </w:r>
      <w:r>
        <w:rPr>
          <w:color w:val="000000"/>
        </w:rPr>
        <w:t> — </w:t>
      </w:r>
      <w:r>
        <w:rPr>
          <w:rFonts w:ascii="Times New Roman;serif" w:hAnsi="Times New Roman;serif"/>
          <w:b w:val="false"/>
          <w:color w:val="000000"/>
          <w:sz w:val="20"/>
        </w:rPr>
        <w:t>Valuations based on quoted prices for similar assets or liabilities in active markets, quoted prices for identical assets or liabilities in inactive markets, or valuations based on models where the significant inputs are observable (e.g. interest rates, yield curves, prepayment speeds, default rates, loss severity, etc.) or can be corroborated by observable market data. Examples of assets and liabilities utilizing Level 2 inputs include: U.S. government-sponsored agency securities; non-U.S. government and supranational obligations; commercial mortgage-backed securities ("CMBS"); collateralized loan obligations ("CLO"); corporate and municipal bonds; and</w:t>
      </w:r>
    </w:p>
    <w:p>
      <w:pPr>
        <w:pStyle w:val="TextBody"/>
        <w:bidi w:val="0"/>
        <w:spacing w:lineRule="auto" w:line="240" w:before="0" w:after="120"/>
        <w:ind w:left="0" w:right="0" w:hanging="450"/>
        <w:jc w:val="both"/>
        <w:rPr/>
      </w:pPr>
      <w:r>
        <w:rPr>
          <w:color w:val="000000"/>
        </w:rPr>
        <w:t>•</w:t>
      </w:r>
      <w:r>
        <w:rPr>
          <w:rFonts w:ascii="Times New Roman;serif" w:hAnsi="Times New Roman;serif"/>
          <w:b w:val="false"/>
          <w:i/>
          <w:color w:val="000000"/>
          <w:sz w:val="20"/>
        </w:rPr>
        <w:t>Level 3</w:t>
      </w:r>
      <w:r>
        <w:rPr>
          <w:color w:val="000000"/>
        </w:rPr>
        <w:t> — </w:t>
      </w:r>
      <w:r>
        <w:rPr>
          <w:rFonts w:ascii="Times New Roman;serif" w:hAnsi="Times New Roman;serif"/>
          <w:b w:val="false"/>
          <w:color w:val="000000"/>
          <w:sz w:val="20"/>
        </w:rPr>
        <w:t>Valuations based on models where significant inputs are not observable. The unobservable inputs reflect our own assumptions about assumptions that market participants would use developed on the basis of the best information available in the particular circumstances. Examples of assets and liabilities utilizing Level 3 inputs include: an investment in preference shares of a start-up insurance producer.</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availability of observable inputs can vary and is affected by a wide variety of factors, including, for example, the type of financial instrument, whether the financial instrument is new and not yet established in the marketplace, and other characteristics particular to the transaction. To the extent that valuation is based on models or inputs that are less observable or unobservable in the market, the determination of fair value requires significantly more judgment. Accordingly, the degree of judgment exercised by management in determining fair value is greatest for instruments categorized in the Level 3 hierarchy.</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prices and inputs that are current as at the measurement date. In periods of market dislocation, the observability of prices and inputs may be reduced for many instruments. This condition could cause an instrument to be reclassified between hierarchy levels.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investments that have quoted market prices in active markets, the Company uses the quoted market prices as fair value and includes these in the Level 1 hierarchy. The Company receives the quoted market prices from a third party nationally recognized provider ("the Pricing Service"). When quoted market prices are unavailable, the Company utilizes the Pricing Service to determine an estimate of fair value. The fair value estimates are included in the Level 2 hierarchy. The Company will challenge any prices for its investments which are considered not to be representative of fair value.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If quoted market prices and an estimate from the Pricing Service are unavailable, the Company produces an estimate of fair value based on dealer quotations for recent activity in positions with the same or similar characteristics to that being valued. The Company determines whether the fair value estimate is in the Level 2 or Level 3 hierarchy depending on the level of observable inputs available when estimating the fair value. The Company bases its estimates of fair values for assets on the bid price as it represents what a third party market participant would be willing to pay in an orderly transaction.</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ASC 825, </w:t>
      </w:r>
      <w:r>
        <w:rPr>
          <w:rFonts w:ascii="Times New Roman;serif" w:hAnsi="Times New Roman;serif"/>
          <w:b w:val="false"/>
          <w:i/>
          <w:color w:val="000000"/>
          <w:sz w:val="20"/>
        </w:rPr>
        <w:t>"Disclosure About Fair Value of Financial Instruments"</w:t>
      </w:r>
      <w:r>
        <w:rPr>
          <w:rFonts w:ascii="Times New Roman;serif" w:hAnsi="Times New Roman;serif"/>
          <w:b w:val="false"/>
          <w:color w:val="000000"/>
          <w:sz w:val="20"/>
        </w:rPr>
        <w:t xml:space="preserve">, requires all entities to disclose the fair value of their financial instruments for assets and liabilities recognized and not recognized in the balance sheet, for which it is practicable to estimate fair value. The following describes the valuation techniques used by the Company to determine the fair value of financial instruments that are measured at fair value on a recurring basis held at September 30, 2025. </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 xml:space="preserve">U.S. government and U.S. agency bonds: </w:t>
      </w:r>
      <w:r>
        <w:rPr>
          <w:rFonts w:ascii="Times New Roman;serif" w:hAnsi="Times New Roman;serif"/>
          <w:b w:val="false"/>
          <w:color w:val="000000"/>
          <w:sz w:val="20"/>
        </w:rPr>
        <w:t>Bonds issued by the U.S. Treasury, the Federal Home Loan Bank, the Federal Home Loan Mortgage Corporation, Government National Mortgage Association, Federal National Mortgage Association and the Federal Farm Credit Banks Funding Corporation. The fair values of U.S. treasury bonds are based on quoted market prices in active markets, and are included in the Level 1 fair value hierarchy. We believe the market for U.S. treasury bonds is an actively traded market given the high level of daily trading volume. The fair values of U.S. agency bonds are determined using the spread above the risk-free yield curve. As the yields for the risk-free yield curve and the spreads for these securities are observable market inputs, the fair values of U.S. agency bonds are included in the Level 2 fair value hierarchy.</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Non-U.S. government bonds:</w:t>
      </w:r>
      <w:r>
        <w:rPr>
          <w:color w:val="000000"/>
        </w:rPr>
        <w:t xml:space="preserve"> </w:t>
      </w:r>
      <w:r>
        <w:rPr>
          <w:rFonts w:ascii="Times New Roman;serif" w:hAnsi="Times New Roman;serif"/>
          <w:b w:val="false"/>
          <w:color w:val="000000"/>
          <w:sz w:val="20"/>
        </w:rPr>
        <w:t>These securities are generally priced by independent pricing services. The Pricing Service may use current market trades for securities with similar quality, maturity and coupon. If no such trades are available, the Pricing Service typically uses analytical models which may incorporate spreads, interest rate data and market/sector news. As the significant inputs used to price non-U.S. government bonds are observable market inputs, the fair values of non-U.S. government bonds are included in the Level 2 fair value hierarchy.</w:t>
      </w:r>
    </w:p>
    <w:p>
      <w:pPr>
        <w:pStyle w:val="TextBody"/>
        <w:bidi w:val="0"/>
        <w:spacing w:before="0" w:after="120"/>
        <w:ind w:left="0" w:right="0" w:firstLine="270"/>
        <w:jc w:val="both"/>
        <w:rPr/>
      </w:pPr>
      <w:r>
        <w:rPr/>
      </w:r>
    </w:p>
    <w:p>
      <w:pPr>
        <w:pStyle w:val="TextBody"/>
        <w:bidi w:val="0"/>
        <w:spacing w:before="0" w:after="120"/>
        <w:ind w:left="0" w:right="0" w:firstLine="270"/>
        <w:jc w:val="both"/>
        <w:rPr/>
      </w:pPr>
      <w:r>
        <w:rPr/>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5. Fair Value of Financial Instruments (continued)</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Collateralized loan obligations</w:t>
      </w:r>
      <w:r>
        <w:rPr>
          <w:color w:val="000000"/>
        </w:rPr>
        <w:t xml:space="preserve"> </w:t>
      </w:r>
      <w:r>
        <w:rPr>
          <w:rFonts w:ascii="Times New Roman;serif" w:hAnsi="Times New Roman;serif"/>
          <w:b w:val="false"/>
          <w:color w:val="000000"/>
          <w:sz w:val="20"/>
        </w:rPr>
        <w:t>("CLO"): These asset backed securities are originated by a variety of financial institutions that on acquisition are rated BBB-/Baa3 or higher. These securities are priced by independent pricing services and brokers. The pricing provider applies dealer quotes and other available trade information, prepayment speeds, yield curves and credit spreads to the valuation. As the significant inputs used to price the CLO are observable market inputs, the fair values are included in the Level 2 fair value hierarchy.</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Commercial mortgage-backed securities</w:t>
      </w:r>
      <w:r>
        <w:rPr>
          <w:color w:val="000000"/>
        </w:rPr>
        <w:t xml:space="preserve"> </w:t>
      </w:r>
      <w:r>
        <w:rPr>
          <w:rFonts w:ascii="Times New Roman;serif" w:hAnsi="Times New Roman;serif"/>
          <w:b w:val="false"/>
          <w:color w:val="000000"/>
          <w:sz w:val="20"/>
        </w:rPr>
        <w:t>("CMBS"): These asset backed securities are originated by a variety of financial institutions that on acquisition are rated BBB-/Baa3 or higher. These securities are priced by independent pricing services and brokers. The pricing provider applies dealer quotes and other available trade information, prepayment speeds, yield curves and credit spreads to the valuation. As the significant inputs used to price the CMBS are observable market inputs, the fair values are included in the Level 2 fair value hierarchy.</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Corporate and municipal bonds:</w:t>
      </w:r>
      <w:r>
        <w:rPr>
          <w:color w:val="000000"/>
        </w:rPr>
        <w:t> </w:t>
      </w:r>
      <w:r>
        <w:rPr>
          <w:rFonts w:ascii="Times New Roman;serif" w:hAnsi="Times New Roman;serif"/>
          <w:b w:val="false"/>
          <w:color w:val="000000"/>
          <w:sz w:val="20"/>
        </w:rPr>
        <w:t>Bonds issued by corporations, U.S. state and municipality entities or agencies that on acquisition are rated BBB-/Baa3 or higher. These securities are generally priced by independent pricing services. The credit spreads are sourced from broker/dealers, trade prices and new issue market. Where pricing is unavailable from pricing services, custodian pricing or non-binding quotes are obtained from broker-dealers to estimate fair values. As significant inputs used to price corporate and municipal bonds are observable market inputs, fair values are included in the Level 2 fair value hierarchy.</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Equity securities:</w:t>
      </w:r>
      <w:r>
        <w:rPr>
          <w:color w:val="000000"/>
        </w:rPr>
        <w:t xml:space="preserve"> </w:t>
      </w:r>
      <w:r>
        <w:rPr>
          <w:rFonts w:ascii="Times New Roman;serif" w:hAnsi="Times New Roman;serif"/>
          <w:b w:val="false"/>
          <w:color w:val="000000"/>
          <w:sz w:val="20"/>
        </w:rPr>
        <w:t>Equity securities can include both publicly traded and privately held common and preferred stocks. The fair value of publicly traded common and preferred stocks is primarily priced by pricing services, reflecting the closing price quoted for the final trading day of the period. These investments are carried at fair value using observable market pricing data and is included in the Level 1 fair value hierarchy. Any unrealized gains or losses on the investment is recorded in net income in the reporting period in which it occurs. The privately held common and preferred stocks are valued using significant inputs that are unobservable where there is little or no market activity. Unadjusted third party pricing sources or management's assumptions and internal valuation models may be used to determine the fair values, therefore, these investments are classified as Level 3 in the fair value hierarchy. For investments without a readily determinable fair value, the measurement alternative can be elected to report the qualifying investment at cost, less impairment if any, plus or minus observable price changes in orderly transactions for an identical or similar investment of the same issuer.</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Other investments:</w:t>
      </w:r>
      <w:r>
        <w:rPr>
          <w:color w:val="000000"/>
        </w:rPr>
        <w:t> </w:t>
      </w:r>
      <w:r>
        <w:rPr>
          <w:rFonts w:ascii="Times New Roman;serif" w:hAnsi="Times New Roman;serif"/>
          <w:b w:val="false"/>
          <w:color w:val="000000"/>
          <w:sz w:val="20"/>
        </w:rPr>
        <w:t xml:space="preserve">Includes unquoted investments comprised of the following types of investments: </w:t>
      </w:r>
    </w:p>
    <w:p>
      <w:pPr>
        <w:pStyle w:val="TextBody"/>
        <w:bidi w:val="0"/>
        <w:spacing w:lineRule="auto" w:line="240" w:before="0" w:after="120"/>
        <w:ind w:left="0" w:right="0" w:hanging="180"/>
        <w:jc w:val="both"/>
        <w:rPr/>
      </w:pPr>
      <w:r>
        <w:rPr>
          <w:color w:val="000000"/>
          <w:shd w:fill="FFFFFF" w:val="clear"/>
        </w:rPr>
        <w:t>•</w:t>
      </w:r>
      <w:r>
        <w:rPr>
          <w:rFonts w:ascii="Times New Roman;serif" w:hAnsi="Times New Roman;serif"/>
          <w:b w:val="false"/>
          <w:color w:val="000000"/>
          <w:sz w:val="20"/>
        </w:rPr>
        <w:t xml:space="preserve">Privately held equity investments: </w:t>
      </w:r>
      <w:r>
        <w:rPr>
          <w:rFonts w:ascii="Times New Roman;serif" w:hAnsi="Times New Roman;serif"/>
          <w:b w:val="false"/>
          <w:color w:val="000000"/>
          <w:sz w:val="20"/>
          <w:shd w:fill="FFFFFF" w:val="clear"/>
        </w:rPr>
        <w:t>These are direct equity investments in common and preferred stock of privately held entities. The fair values are estimated using quarterly financial statements and/or recent private market transactions and thus are included under Level 3 of the fair value hierarchy due to unobservable market data used for valuation.</w:t>
      </w:r>
    </w:p>
    <w:p>
      <w:pPr>
        <w:pStyle w:val="TextBody"/>
        <w:bidi w:val="0"/>
        <w:spacing w:lineRule="auto" w:line="240" w:before="0" w:after="120"/>
        <w:ind w:left="0" w:right="0" w:hanging="180"/>
        <w:jc w:val="both"/>
        <w:rPr/>
      </w:pPr>
      <w:r>
        <w:rPr>
          <w:color w:val="000000"/>
          <w:shd w:fill="FFFFFF" w:val="clear"/>
        </w:rPr>
        <w:t>•</w:t>
      </w:r>
      <w:r>
        <w:rPr>
          <w:rFonts w:ascii="Times New Roman;serif" w:hAnsi="Times New Roman;serif"/>
          <w:b w:val="false"/>
          <w:color w:val="000000"/>
          <w:sz w:val="20"/>
          <w:shd w:fill="FFFFFF" w:val="clear"/>
        </w:rPr>
        <w:t>Private credit investments: These are privately held equity investments in common stock of entities that lend money valued using the most recently available or quarterly net asset value ("NAV") statements as provided by the external fund manager or third-party administrator and therefore measured using the NAV as a practical expedient.</w:t>
      </w:r>
    </w:p>
    <w:p>
      <w:pPr>
        <w:pStyle w:val="TextBody"/>
        <w:bidi w:val="0"/>
        <w:spacing w:lineRule="auto" w:line="240" w:before="0" w:after="120"/>
        <w:ind w:left="0" w:right="0" w:hanging="180"/>
        <w:jc w:val="both"/>
        <w:rPr/>
      </w:pPr>
      <w:r>
        <w:rPr>
          <w:color w:val="000000"/>
          <w:shd w:fill="FFFFFF" w:val="clear"/>
        </w:rPr>
        <w:t>•</w:t>
      </w:r>
      <w:r>
        <w:rPr>
          <w:rFonts w:ascii="Times New Roman;serif" w:hAnsi="Times New Roman;serif"/>
          <w:b w:val="false"/>
          <w:color w:val="000000"/>
          <w:sz w:val="20"/>
          <w:shd w:fill="FFFFFF" w:val="clear"/>
        </w:rPr>
        <w:t>Private equity funds: These are comprised of private equity funds,</w:t>
      </w:r>
      <w:r>
        <w:rPr>
          <w:color w:val="000000"/>
        </w:rPr>
        <w:t xml:space="preserve"> </w:t>
      </w:r>
      <w:r>
        <w:rPr>
          <w:rFonts w:ascii="Times New Roman;serif" w:hAnsi="Times New Roman;serif"/>
          <w:b w:val="false"/>
          <w:color w:val="000000"/>
          <w:sz w:val="20"/>
        </w:rPr>
        <w:t>private equity co-investments with sponsoring entities and investments in real estate limited partnerships and joint ventures</w:t>
      </w:r>
      <w:r>
        <w:rPr>
          <w:rFonts w:ascii="Times New Roman;serif" w:hAnsi="Times New Roman;serif"/>
          <w:b w:val="false"/>
          <w:color w:val="000000"/>
          <w:sz w:val="20"/>
          <w:shd w:fill="FFFFFF" w:val="clear"/>
        </w:rPr>
        <w:t>. The fair value is estimated based on the most recently available NAV as advised by the external fund manager or third-party administrator. The fair values are therefore measured using the NAV as a practical expedient.</w:t>
      </w:r>
    </w:p>
    <w:p>
      <w:pPr>
        <w:pStyle w:val="TextBody"/>
        <w:bidi w:val="0"/>
        <w:spacing w:lineRule="auto" w:line="240" w:before="0" w:after="120"/>
        <w:ind w:left="0" w:right="0" w:hanging="180"/>
        <w:jc w:val="both"/>
        <w:rPr/>
      </w:pPr>
      <w:r>
        <w:rPr>
          <w:color w:val="000000"/>
          <w:shd w:fill="FFFFFF" w:val="clear"/>
        </w:rPr>
        <w:t>•</w:t>
      </w:r>
      <w:r>
        <w:rPr>
          <w:rFonts w:ascii="Times New Roman;serif" w:hAnsi="Times New Roman;serif"/>
          <w:b w:val="false"/>
          <w:color w:val="000000"/>
          <w:sz w:val="20"/>
        </w:rPr>
        <w:t xml:space="preserve">Investments in direct lending entities: These investments are carried at their fair market value with any changes in fair value reported in realized and unrealized gains (losses) during the period. These investments are </w:t>
      </w:r>
      <w:r>
        <w:rPr>
          <w:rFonts w:ascii="Times New Roman;serif" w:hAnsi="Times New Roman;serif"/>
          <w:b w:val="false"/>
          <w:color w:val="000000"/>
          <w:sz w:val="20"/>
          <w:shd w:fill="FFFFFF" w:val="clear"/>
        </w:rPr>
        <w:t>included in Level 3 of the fair value hierarchy due to unobservable market data used for valuation.</w:t>
      </w:r>
    </w:p>
    <w:p>
      <w:pPr>
        <w:pStyle w:val="TextBody"/>
        <w:bidi w:val="0"/>
        <w:spacing w:lineRule="auto" w:line="240" w:before="0" w:after="120"/>
        <w:ind w:left="0" w:right="0" w:hanging="180"/>
        <w:jc w:val="both"/>
        <w:rPr/>
      </w:pPr>
      <w:r>
        <w:rPr>
          <w:color w:val="000000"/>
          <w:shd w:fill="FFFFFF" w:val="clear"/>
        </w:rPr>
        <w:t>•</w:t>
      </w:r>
      <w:r>
        <w:rPr>
          <w:rFonts w:ascii="Times New Roman;serif" w:hAnsi="Times New Roman;serif"/>
          <w:b w:val="false"/>
          <w:color w:val="000000"/>
          <w:sz w:val="20"/>
        </w:rPr>
        <w:t>Due to a lag in the valuations of certain funds reported by the investment managers, the Company may record changes in valuation with up to a three-month lag. The Company regularly reviews and discusses fund performance with the investment managers or sponsors to corroborate the reasonableness of the reported NAV and to assess whether any events have occurred within the lag period that would affect the valuation of the investments.</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 xml:space="preserve">Equity method investments: The Company elected the fair value option for certain of its equity method investments, and these investments are reported at their fair values with any changes in fair value reported in realized and unrealized gains (losses) during the period. These are </w:t>
      </w:r>
      <w:r>
        <w:rPr>
          <w:rFonts w:ascii="Times New Roman;serif" w:hAnsi="Times New Roman;serif"/>
          <w:b w:val="false"/>
          <w:color w:val="000000"/>
          <w:sz w:val="20"/>
          <w:shd w:fill="FFFFFF" w:val="clear"/>
        </w:rPr>
        <w:t>included in Level 3 of the fair value hierarchy due to unobservable market data used for valuation.</w:t>
      </w:r>
    </w:p>
    <w:p>
      <w:pPr>
        <w:pStyle w:val="TextBody"/>
        <w:bidi w:val="0"/>
        <w:spacing w:lineRule="auto" w:line="240" w:before="0" w:after="120"/>
        <w:ind w:left="0" w:right="0" w:firstLine="270"/>
        <w:jc w:val="both"/>
        <w:rPr/>
      </w:pPr>
      <w:r>
        <w:rPr>
          <w:rFonts w:ascii="Times New Roman;serif" w:hAnsi="Times New Roman;serif"/>
          <w:b w:val="false"/>
          <w:i/>
          <w:color w:val="000000"/>
          <w:sz w:val="20"/>
          <w:shd w:fill="FFFFFF" w:val="clear"/>
        </w:rPr>
        <w:t xml:space="preserve">Derivative Instruments: </w:t>
      </w:r>
      <w:r>
        <w:rPr>
          <w:rFonts w:ascii="Times New Roman;serif" w:hAnsi="Times New Roman;serif"/>
          <w:b w:val="false"/>
          <w:color w:val="000000"/>
          <w:sz w:val="20"/>
          <w:shd w:fill="FFFFFF" w:val="clear"/>
        </w:rPr>
        <w:t>The Company entered into a reinsurance contract that is accounted for as a derivative. This reinsurance contract provides indemnification to an insured or cedant as a result of a change in a variable as opposed to an identifiable insurable event. The Company considers this contract to be part of its underwriting operations. This derivative is initially valued at cost which approximates fair value. In subsequent measurement periods, the fair value of this derivative is determined using internally developed discounted cash flow models using appropriate discount rates. The selection of an appropriate discount rate is judgmental and is the most significant unobservable input used in the valuation of this derivative. The</w:t>
      </w:r>
      <w:r>
        <w:rPr>
          <w:color w:val="000000"/>
        </w:rPr>
        <w:t xml:space="preserve"> </w:t>
      </w:r>
      <w:r>
        <w:rPr>
          <w:rFonts w:ascii="Times New Roman;serif" w:hAnsi="Times New Roman;serif"/>
          <w:b w:val="false"/>
          <w:color w:val="000000"/>
          <w:sz w:val="20"/>
        </w:rPr>
        <w:t>fair value changes in underwriting-related derivative instruments is included within other insurance revenue (expense), net.</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The derivative liability on retroactive reinsurance is presented as part of accrued expenses and other liabilities. </w:t>
      </w:r>
      <w:r>
        <w:rPr>
          <w:rFonts w:ascii="Times New Roman;serif" w:hAnsi="Times New Roman;serif"/>
          <w:b w:val="false"/>
          <w:color w:val="000000"/>
          <w:sz w:val="20"/>
          <w:shd w:fill="FFFFFF" w:val="clear"/>
        </w:rPr>
        <w:t>A significant increase (decrease) in this input in isolation may result in a significantly lower (higher) fair value measurement for the derivative contract. As the significant inputs used to price these derivatives are unobservable, the fair values of this contract is classified as Level 3 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5. Fair Value of Financial Instruments (continued)</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(b) Fair Value Hierarchy</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estimates of fair value for financial assets and financial liabilities are based on the framework established in ASC 820. The framework is based on the inputs used in valuation and gives the highest priority to quoted prices in active markets and requires that observable inputs be used in the valuation methodology whenever available. In determining the level of the hierarchy in which the estimate is disclosed, the highest priority is given to unadjusted quoted prices in active trading markets and the lowest priority to unobservable inputs that reflect significant market assumptions. At September 30, 2025, the Company classified its financial instruments measured at fair value on a recurring basis in the following valuation hierarchy:</w:t>
      </w:r>
    </w:p>
    <w:tbl>
      <w:tblPr>
        <w:tblW w:w="10205" w:type="dxa"/>
        <w:jc w:val="left"/>
        <w:tblInd w:w="0" w:type="dxa"/>
        <w:tblLayout w:type="fixed"/>
        <w:tblCellMar>
          <w:top w:w="28" w:type="dxa"/>
          <w:left w:w="28" w:type="dxa"/>
          <w:bottom w:w="28" w:type="dxa"/>
          <w:right w:w="28" w:type="dxa"/>
        </w:tblCellMar>
      </w:tblPr>
      <w:tblGrid>
        <w:gridCol w:w="988"/>
        <w:gridCol w:w="654"/>
        <w:gridCol w:w="657"/>
        <w:gridCol w:w="109"/>
        <w:gridCol w:w="109"/>
        <w:gridCol w:w="109"/>
        <w:gridCol w:w="259"/>
        <w:gridCol w:w="887"/>
        <w:gridCol w:w="134"/>
        <w:gridCol w:w="109"/>
        <w:gridCol w:w="109"/>
        <w:gridCol w:w="109"/>
        <w:gridCol w:w="239"/>
        <w:gridCol w:w="937"/>
        <w:gridCol w:w="123"/>
        <w:gridCol w:w="109"/>
        <w:gridCol w:w="109"/>
        <w:gridCol w:w="109"/>
        <w:gridCol w:w="235"/>
        <w:gridCol w:w="922"/>
        <w:gridCol w:w="121"/>
        <w:gridCol w:w="109"/>
        <w:gridCol w:w="109"/>
        <w:gridCol w:w="109"/>
        <w:gridCol w:w="244"/>
        <w:gridCol w:w="834"/>
        <w:gridCol w:w="126"/>
        <w:gridCol w:w="109"/>
        <w:gridCol w:w="109"/>
        <w:gridCol w:w="109"/>
        <w:gridCol w:w="213"/>
        <w:gridCol w:w="834"/>
        <w:gridCol w:w="163"/>
      </w:tblGrid>
      <w:tr>
        <w:trPr/>
        <w:tc>
          <w:tcPr>
            <w:tcW w:w="98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 (Level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Based on NAV Practical Expedient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6"/>
              </w:rPr>
            </w:pPr>
            <w:r>
              <w:rPr>
                <w:rFonts w:ascii="Times New Roman;serif" w:hAnsi="Times New Roman;serif"/>
                <w:b/>
                <w:color w:val="000000"/>
                <w:sz w:val="16"/>
              </w:rPr>
              <w:t>Total Fair Value</w:t>
            </w:r>
          </w:p>
        </w:tc>
      </w:tr>
      <w:tr>
        <w:trPr/>
        <w:tc>
          <w:tcPr>
            <w:tcW w:w="2299"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Fixed maturities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 – mortgage-backed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22,122 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22,122 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52,623 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29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68,439 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68,439 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securities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11,350 </w:t>
            </w:r>
          </w:p>
        </w:tc>
        <w:tc>
          <w:tcPr>
            <w:tcW w:w="12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11,350 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171,791 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29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38,730 </w:t>
            </w:r>
          </w:p>
        </w:tc>
        <w:tc>
          <w:tcPr>
            <w:tcW w:w="13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159,928 </w:t>
            </w:r>
          </w:p>
        </w:tc>
        <w:tc>
          <w:tcPr>
            <w:tcW w:w="123"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144,308 </w:t>
            </w:r>
          </w:p>
        </w:tc>
        <w:tc>
          <w:tcPr>
            <w:tcW w:w="121"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38,833 </w:t>
            </w:r>
          </w:p>
        </w:tc>
        <w:tc>
          <w:tcPr>
            <w:tcW w:w="126"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381,799 </w:t>
            </w:r>
          </w:p>
        </w:tc>
        <w:tc>
          <w:tcPr>
            <w:tcW w:w="163"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a percentage of 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33.7%</w:t>
            </w:r>
          </w:p>
        </w:tc>
      </w:tr>
      <w:tr>
        <w:trPr/>
        <w:tc>
          <w:tcPr>
            <w:tcW w:w="229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Underwriting-related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3,984 </w:t>
            </w:r>
          </w:p>
        </w:tc>
        <w:tc>
          <w:tcPr>
            <w:tcW w:w="1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3,984 </w:t>
            </w:r>
          </w:p>
        </w:tc>
        <w:tc>
          <w:tcPr>
            <w:tcW w:w="16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73"/>
        <w:gridCol w:w="329"/>
        <w:gridCol w:w="330"/>
        <w:gridCol w:w="109"/>
        <w:gridCol w:w="109"/>
        <w:gridCol w:w="109"/>
        <w:gridCol w:w="612"/>
        <w:gridCol w:w="612"/>
        <w:gridCol w:w="614"/>
        <w:gridCol w:w="109"/>
        <w:gridCol w:w="109"/>
        <w:gridCol w:w="109"/>
        <w:gridCol w:w="548"/>
        <w:gridCol w:w="548"/>
        <w:gridCol w:w="549"/>
        <w:gridCol w:w="109"/>
        <w:gridCol w:w="109"/>
        <w:gridCol w:w="109"/>
        <w:gridCol w:w="557"/>
        <w:gridCol w:w="557"/>
        <w:gridCol w:w="558"/>
        <w:gridCol w:w="109"/>
        <w:gridCol w:w="109"/>
        <w:gridCol w:w="109"/>
        <w:gridCol w:w="525"/>
        <w:gridCol w:w="525"/>
        <w:gridCol w:w="527"/>
        <w:gridCol w:w="109"/>
        <w:gridCol w:w="109"/>
        <w:gridCol w:w="109"/>
        <w:gridCol w:w="233"/>
        <w:gridCol w:w="233"/>
        <w:gridCol w:w="340"/>
      </w:tblGrid>
      <w:tr>
        <w:trPr/>
        <w:tc>
          <w:tcPr>
            <w:tcW w:w="37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16"/>
              </w:rPr>
            </w:pPr>
            <w:r>
              <w:rPr>
                <w:rFonts w:ascii="Times New Roman;serif" w:hAnsi="Times New Roman;serif"/>
                <w:b/>
                <w:color w:val="FFFFFF"/>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Quoted Prices in Active Markets for Identical Assets (Level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Significant Other Observable Inputs (Level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Significant Unobservable Inputs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Fair Value Based on NAV Practical Expedient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Total Fair Value</w:t>
            </w:r>
          </w:p>
        </w:tc>
      </w:tr>
      <w:tr>
        <w:trPr/>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r>
        <w:trPr/>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utilizes the Pricing Service to assist in determining the fair value of its investments; however, management is ultimately responsible for all fair values presented in the Company’s consolidated financial statements. This includes responsibility for monitoring the fair value process, ensuring objective and reliable valuation practices, and pricing of assets and liabilities and use of pricing sources. The Company analyzes and reviews the information and prices received from the Pricing Service to ensure that the prices provided represent a reasonable estimate of fair value.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Pricing Service was utilized to estimate fair value measurements for 100.0% of our fixed maturities at September 30, 2025. The Pricing Service utilizes market quotations for fixed maturity securities that have quoted market prices in active markets. Since fixed maturities other than U.S. treasury bonds generally do not trade actively on a daily basis, the Pricing Service prepares estimates of fair value measurements using relevant market data, benchmark curves, sector groupings and matrix pricing and these have been classified as Level 2 within the fair value hierarchy. At September 30, 2025, the Company did not adjust any pricing provided to it based on the review performed by its investment managers. There were no transfers to or from Level 3 during the three and nine months ended September 30, 2025, respectively.</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(c) Level 3 Financial Instruments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2025, the Company holds Level 3 financial instruments which currently consist of alternative investments of $144,308 and an underwriting-related derivative liability of $3,984 on a reinsurance contract written by GLS which is included in accrued expenses and other liabilities.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Level 3 investments include collateralized investments in direct lending entities of $53,616 at September 30, 2025 which are carried at fair market value using significant unobservable inputs. These direct loans are illiquid and require long-term capital commitments, and so significant judgment was used in its valuation. Therefore, these investments are classified as Level 3 in the fair value hierarchy.</w:t>
      </w:r>
    </w:p>
    <w:p>
      <w:pPr>
        <w:pStyle w:val="TextBody"/>
        <w:bidi w:val="0"/>
        <w:spacing w:lineRule="auto" w:line="240" w:before="0" w:after="120"/>
        <w:ind w:left="0" w:right="0" w:firstLine="270"/>
        <w:jc w:val="both"/>
        <w:rPr/>
      </w:pPr>
      <w:r>
        <w:rPr>
          <w:rFonts w:ascii="Times New Roman;serif" w:hAnsi="Times New Roman;serif"/>
          <w:b w:val="false"/>
          <w:color w:val="000000"/>
          <w:sz w:val="20"/>
        </w:rPr>
        <w:t>The fair values for equity securities of $11,350 are estimated using quarterly unaudited capital and financial statements provided by the investee or recent private market transactions, where applicable. Any changes to the financial information provided by the investee could result in a significantly higher or lower valuation at the reporting date. Due to significant unobservable inputs in these valuations, the Company classifies the fair values as Level 3 within the fair value hierarchy</w:t>
      </w:r>
      <w:r>
        <w:rPr>
          <w:rFonts w:ascii="Times New Roman;serif" w:hAnsi="Times New Roman;serif"/>
          <w:b w:val="false"/>
          <w:color w:val="000000"/>
          <w:sz w:val="20"/>
          <w:shd w:fill="FFFFFF" w:val="clear"/>
        </w:rPr>
        <w:t>.</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elected the fair value option for certain of its equity method investments at the acquisition date. The fair values for these investments are presented in other investments and are estimated using quarterly unaudited capital and financial statements provided by the investee or recent private market transactions, where applicable. Any changes to the financial information provided by the investee could result in a significantly higher or lower valuation at the reporting date. Due to significant unobservable inputs in valuations, the Company classifies the fair values as Level 3 within the fair value hierarchy.</w:t>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5. Fair Value of Financial Instruments (continued)</w:t>
      </w:r>
    </w:p>
    <w:p>
      <w:pPr>
        <w:pStyle w:val="TextBody"/>
        <w:bidi w:val="0"/>
        <w:spacing w:lineRule="auto" w:line="240" w:before="0" w:after="120"/>
        <w:ind w:left="0" w:right="0" w:firstLine="270"/>
        <w:jc w:val="both"/>
        <w:rPr/>
      </w:pPr>
      <w:r>
        <w:rPr>
          <w:rFonts w:ascii="Times New Roman;serif" w:hAnsi="Times New Roman;serif"/>
          <w:b w:val="false"/>
          <w:color w:val="000000"/>
          <w:sz w:val="20"/>
        </w:rPr>
        <w:t>The fair value of underwriting-related derivative instruments of $3,984 is determined using a</w:t>
      </w:r>
      <w:r>
        <w:rPr>
          <w:color w:val="000000"/>
          <w:shd w:fill="FFFFFF" w:val="clear"/>
        </w:rPr>
        <w:t xml:space="preserve"> </w:t>
      </w:r>
      <w:r>
        <w:rPr>
          <w:rFonts w:ascii="Times New Roman;serif" w:hAnsi="Times New Roman;serif"/>
          <w:b w:val="false"/>
          <w:color w:val="000000"/>
          <w:sz w:val="20"/>
          <w:shd w:fill="FFFFFF" w:val="clear"/>
        </w:rPr>
        <w:t>discounted cash flow model in which the Company examines current market conditions, historical results as well as contract specific information that may impact future cash flows in order to assess the reasonableness of inputs used in the valuation model</w:t>
      </w:r>
      <w:r>
        <w:rPr>
          <w:rFonts w:ascii="Times New Roman;serif" w:hAnsi="Times New Roman;serif"/>
          <w:b w:val="false"/>
          <w:color w:val="000000"/>
          <w:sz w:val="20"/>
        </w:rPr>
        <w:t>. Due to significant unobservable inputs in these valuations, the Company classifies the fair values as Level 3 within the fair value hierarchy</w:t>
      </w:r>
      <w:r>
        <w:rPr>
          <w:rFonts w:ascii="Times New Roman;serif" w:hAnsi="Times New Roman;serif"/>
          <w:b w:val="false"/>
          <w:color w:val="000000"/>
          <w:sz w:val="20"/>
          <w:shd w:fill="FFFFFF" w:val="clear"/>
        </w:rPr>
        <w:t>.</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quantitative information regarding the significant unobservable inputs used in determining the fair value of other investments measured at fair value on a recurring basis under the Level 3 classification at September 30, 2025:</w:t>
      </w:r>
    </w:p>
    <w:tbl>
      <w:tblPr>
        <w:tblW w:w="10205" w:type="dxa"/>
        <w:jc w:val="left"/>
        <w:tblInd w:w="0" w:type="dxa"/>
        <w:tblLayout w:type="fixed"/>
        <w:tblCellMar>
          <w:top w:w="28" w:type="dxa"/>
          <w:left w:w="28" w:type="dxa"/>
          <w:bottom w:w="28" w:type="dxa"/>
          <w:right w:w="28" w:type="dxa"/>
        </w:tblCellMar>
      </w:tblPr>
      <w:tblGrid>
        <w:gridCol w:w="1444"/>
        <w:gridCol w:w="704"/>
        <w:gridCol w:w="707"/>
        <w:gridCol w:w="109"/>
        <w:gridCol w:w="109"/>
        <w:gridCol w:w="109"/>
        <w:gridCol w:w="211"/>
        <w:gridCol w:w="826"/>
        <w:gridCol w:w="109"/>
        <w:gridCol w:w="109"/>
        <w:gridCol w:w="109"/>
        <w:gridCol w:w="109"/>
        <w:gridCol w:w="563"/>
        <w:gridCol w:w="483"/>
        <w:gridCol w:w="484"/>
        <w:gridCol w:w="109"/>
        <w:gridCol w:w="109"/>
        <w:gridCol w:w="109"/>
        <w:gridCol w:w="719"/>
        <w:gridCol w:w="719"/>
        <w:gridCol w:w="721"/>
        <w:gridCol w:w="109"/>
        <w:gridCol w:w="109"/>
        <w:gridCol w:w="109"/>
        <w:gridCol w:w="137"/>
        <w:gridCol w:w="137"/>
        <w:gridCol w:w="139"/>
        <w:gridCol w:w="109"/>
        <w:gridCol w:w="109"/>
        <w:gridCol w:w="109"/>
        <w:gridCol w:w="133"/>
        <w:gridCol w:w="133"/>
        <w:gridCol w:w="201"/>
      </w:tblGrid>
      <w:tr>
        <w:trPr/>
        <w:tc>
          <w:tcPr>
            <w:tcW w:w="144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9"/>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8"/>
              </w:rPr>
            </w:pPr>
            <w:r>
              <w:rPr>
                <w:rFonts w:ascii="Times New Roman;serif" w:hAnsi="Times New Roman;serif"/>
                <w:b/>
                <w:color w:val="000000"/>
                <w:sz w:val="18"/>
              </w:rPr>
              <w:t>Range</w:t>
            </w:r>
          </w:p>
        </w:tc>
      </w:tr>
      <w:tr>
        <w:trPr/>
        <w:tc>
          <w:tcPr>
            <w:tcW w:w="285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Privately held equity investments - common shares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Quarterly financial statements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Price/book ratios of comparable public companies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67"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ind w:left="0" w:right="0" w:hanging="360"/>
              <w:jc w:val="center"/>
              <w:rPr>
                <w:color w:val="000000"/>
              </w:rPr>
            </w:pPr>
            <w:r>
              <w:rPr>
                <w:color w:val="000000"/>
              </w:rPr>
              <w:t> </w:t>
            </w:r>
          </w:p>
        </w:tc>
      </w:tr>
      <w:tr>
        <w:trPr/>
        <w:tc>
          <w:tcPr>
            <w:tcW w:w="2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equity investments - preferred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Quarterly financial statements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Privately calculated enterprise valuations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85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 - Investments in direct lending entities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53,616 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Quarterly financial statements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Privately calculated enterprise valuations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DFFCC"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 measured at fair value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Quarterly financial statements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Privately calculated enterprise valuations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Level 3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144,308 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Underwriting-related derivative liability</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3,984 </w:t>
            </w:r>
          </w:p>
        </w:tc>
        <w:tc>
          <w:tcPr>
            <w:tcW w:w="109"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Discounted cash flows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Duration matched discount rates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46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bl>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reconciliation of beginning and ending balances for investments measured at fair value on a recurring basis using Level 3 inputs for the three and nine months ended September 30, 2025, respectively. The Company includes any related interest and dividend income in net investment income and thus are excluded from the reconciliation in the table below:</w:t>
      </w:r>
    </w:p>
    <w:tbl>
      <w:tblPr>
        <w:tblW w:w="10205" w:type="dxa"/>
        <w:jc w:val="left"/>
        <w:tblInd w:w="0" w:type="dxa"/>
        <w:tblLayout w:type="fixed"/>
        <w:tblCellMar>
          <w:top w:w="28" w:type="dxa"/>
          <w:left w:w="28" w:type="dxa"/>
          <w:bottom w:w="28" w:type="dxa"/>
          <w:right w:w="28" w:type="dxa"/>
        </w:tblCellMar>
      </w:tblPr>
      <w:tblGrid>
        <w:gridCol w:w="1151"/>
        <w:gridCol w:w="997"/>
        <w:gridCol w:w="1004"/>
        <w:gridCol w:w="109"/>
        <w:gridCol w:w="109"/>
        <w:gridCol w:w="109"/>
        <w:gridCol w:w="463"/>
        <w:gridCol w:w="1814"/>
        <w:gridCol w:w="239"/>
        <w:gridCol w:w="109"/>
        <w:gridCol w:w="2362"/>
        <w:gridCol w:w="109"/>
        <w:gridCol w:w="109"/>
        <w:gridCol w:w="109"/>
        <w:gridCol w:w="211"/>
        <w:gridCol w:w="826"/>
        <w:gridCol w:w="109"/>
        <w:gridCol w:w="109"/>
        <w:gridCol w:w="157"/>
      </w:tblGrid>
      <w:tr>
        <w:trPr/>
        <w:tc>
          <w:tcPr>
            <w:tcW w:w="11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1739" w:type="dxa"/>
            <w:gridSpan w:val="8"/>
            <w:tcBorders/>
          </w:tcPr>
          <w:p>
            <w:pPr>
              <w:pStyle w:val="TableContents"/>
              <w:bidi w:val="0"/>
              <w:spacing w:before="0" w:after="283"/>
              <w:jc w:val="left"/>
              <w:rPr>
                <w:sz w:val="4"/>
                <w:szCs w:val="4"/>
              </w:rPr>
            </w:pPr>
            <w:r>
              <w:rPr>
                <w:sz w:val="4"/>
                <w:szCs w:val="4"/>
              </w:rPr>
            </w:r>
          </w:p>
        </w:tc>
      </w:tr>
      <w:tr>
        <w:trPr/>
        <w:tc>
          <w:tcPr>
            <w:tcW w:w="31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52"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beginning of period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138,919 </w:t>
            </w:r>
          </w:p>
        </w:tc>
        <w:tc>
          <w:tcPr>
            <w:tcW w:w="23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Level 3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5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2,458 </w:t>
            </w:r>
          </w:p>
        </w:tc>
        <w:tc>
          <w:tcPr>
            <w:tcW w:w="23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52"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gains during the period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3,505 </w:t>
            </w:r>
          </w:p>
        </w:tc>
        <w:tc>
          <w:tcPr>
            <w:tcW w:w="23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Level 3 investments -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144,308 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(d) Financial Instruments Disclosed, But Not Carried, at Fair Value</w:t>
      </w:r>
    </w:p>
    <w:p>
      <w:pPr>
        <w:pStyle w:val="TextBody"/>
        <w:bidi w:val="0"/>
        <w:spacing w:lineRule="auto" w:line="240" w:before="0" w:after="120"/>
        <w:ind w:left="0" w:right="0" w:firstLine="270"/>
        <w:jc w:val="both"/>
        <w:rPr/>
      </w:pPr>
      <w:r>
        <w:rPr>
          <w:rFonts w:ascii="Times New Roman;serif" w:hAnsi="Times New Roman;serif"/>
          <w:b w:val="false"/>
          <w:color w:val="000000"/>
          <w:sz w:val="20"/>
          <w:shd w:fill="FFFFFF" w:val="clear"/>
        </w:rPr>
        <w:t>The fair value of financial instruments accounting guidance also applies to financial instruments disclosed, but not carried, at fair value, except for certain financial instruments related to insurance contracts</w:t>
      </w:r>
      <w:r>
        <w:rPr>
          <w:rFonts w:ascii="Times New Roman;serif" w:hAnsi="Times New Roman;serif"/>
          <w:b w:val="false"/>
          <w:color w:val="000000"/>
          <w:sz w:val="20"/>
        </w:rPr>
        <w:t xml:space="preserv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September 30, 2025, the carrying values of cash equivalents (including restricted amounts), accrued investment income, reinsurance balances receivable and certain other assets and liabilities approximate fair values due to their inherent short duration. As these financial instruments are not actively traded, the fair values of these financial instruments are classified as Level 2 in the fair value hierarchy.</w:t>
      </w:r>
    </w:p>
    <w:p>
      <w:pPr>
        <w:pStyle w:val="TextBody"/>
        <w:bidi w:val="0"/>
        <w:spacing w:lineRule="auto" w:line="240" w:before="0" w:after="120"/>
        <w:ind w:left="0" w:right="0" w:firstLine="27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September 30, 2025, the carrying value of the net loan receivable from related party approximates fair value. The fair value of the net loan receivable is primarily determined by estimating expected future cash flows and discounting them using current interest rates for similar loans with similar credit risk. As the net loan receivable from related party is not actively traded, its fair value is classified as Level 3 in the fair value hierarchy.</w:t>
      </w:r>
    </w:p>
    <w:p>
      <w:pPr>
        <w:pStyle w:val="TextBody"/>
        <w:bidi w:val="0"/>
        <w:spacing w:lineRule="auto" w:line="240" w:before="0" w:after="0"/>
        <w:ind w:left="0" w:right="0" w:firstLine="270"/>
        <w:jc w:val="both"/>
        <w:rPr/>
      </w:pPr>
      <w:r>
        <w:rPr>
          <w:rFonts w:ascii="Times New Roman;serif" w:hAnsi="Times New Roman;serif"/>
          <w:b w:val="false"/>
          <w:color w:val="000000"/>
          <w:sz w:val="20"/>
        </w:rPr>
        <w:t xml:space="preserve">The fair values of the Company's outstanding Senior Notes (as defined in </w:t>
      </w:r>
      <w:r>
        <w:rPr>
          <w:rFonts w:ascii="Times New Roman;serif" w:hAnsi="Times New Roman;serif"/>
          <w:b w:val="false"/>
          <w:i/>
          <w:color w:val="000000"/>
          <w:sz w:val="20"/>
        </w:rPr>
        <w:t>Note 7. Long-Term Debt</w:t>
      </w:r>
      <w:r>
        <w:rPr>
          <w:rFonts w:ascii="Times New Roman;serif" w:hAnsi="Times New Roman;serif"/>
          <w:b w:val="false"/>
          <w:color w:val="000000"/>
          <w:sz w:val="20"/>
        </w:rPr>
        <w:t xml:space="preserve">) are based on indicative market pricing obtained from a third-party pricing service which uses observable market inputs, and therefore the fair values of these liabilities are classified as Level 2 in the fair value hierarchy. </w:t>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5. Fair Value of Financial Instruments (continued)</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respective principal amount and fair values for the Senior Notes as at September 30, 2025:</w:t>
      </w:r>
    </w:p>
    <w:p>
      <w:pPr>
        <w:pStyle w:val="TextBody"/>
        <w:bidi w:val="0"/>
        <w:spacing w:before="0" w:after="0"/>
        <w:ind w:left="0" w:right="0" w:firstLine="270"/>
        <w:jc w:val="both"/>
        <w:rPr/>
      </w:pPr>
      <w:r>
        <w:rPr/>
      </w:r>
    </w:p>
    <w:tbl>
      <w:tblPr>
        <w:tblW w:w="6135" w:type="dxa"/>
        <w:jc w:val="left"/>
        <w:tblInd w:w="0" w:type="dxa"/>
        <w:tblLayout w:type="fixed"/>
        <w:tblCellMar>
          <w:top w:w="28" w:type="dxa"/>
          <w:left w:w="28" w:type="dxa"/>
          <w:bottom w:w="28" w:type="dxa"/>
          <w:right w:w="28" w:type="dxa"/>
        </w:tblCellMar>
      </w:tblPr>
      <w:tblGrid>
        <w:gridCol w:w="976"/>
        <w:gridCol w:w="858"/>
        <w:gridCol w:w="866"/>
        <w:gridCol w:w="109"/>
        <w:gridCol w:w="109"/>
        <w:gridCol w:w="109"/>
        <w:gridCol w:w="212"/>
        <w:gridCol w:w="833"/>
        <w:gridCol w:w="109"/>
        <w:gridCol w:w="109"/>
        <w:gridCol w:w="109"/>
        <w:gridCol w:w="109"/>
        <w:gridCol w:w="211"/>
        <w:gridCol w:w="826"/>
        <w:gridCol w:w="109"/>
        <w:gridCol w:w="109"/>
        <w:gridCol w:w="109"/>
        <w:gridCol w:w="109"/>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Senior Notes - MHLA – 6.625%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66,440 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Senior Notes - MHNC – 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Senior Notes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173,276 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6. Shareholders' Equity</w:t>
      </w:r>
    </w:p>
    <w:p>
      <w:pPr>
        <w:pStyle w:val="TextBody"/>
        <w:bidi w:val="0"/>
        <w:spacing w:lineRule="auto" w:line="240" w:before="0" w:after="120"/>
        <w:ind w:left="0" w:right="0" w:hanging="270"/>
        <w:jc w:val="both"/>
        <w:rPr>
          <w:rFonts w:ascii="Times New Roman;serif" w:hAnsi="Times New Roman;serif"/>
          <w:b/>
          <w:i/>
          <w:color w:val="000000"/>
          <w:sz w:val="20"/>
        </w:rPr>
      </w:pPr>
      <w:r>
        <w:rPr>
          <w:rFonts w:ascii="Times New Roman;serif" w:hAnsi="Times New Roman;serif"/>
          <w:b/>
          <w:i/>
          <w:color w:val="000000"/>
          <w:sz w:val="20"/>
        </w:rPr>
        <w:t>a)Common Shares</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As discussed in </w:t>
      </w:r>
      <w:r>
        <w:rPr>
          <w:rFonts w:ascii="Times New Roman;serif" w:hAnsi="Times New Roman;serif"/>
          <w:b w:val="false"/>
          <w:i/>
          <w:color w:val="000000"/>
          <w:sz w:val="20"/>
        </w:rPr>
        <w:t>Note 1. Basis of Presentation</w:t>
      </w:r>
      <w:r>
        <w:rPr>
          <w:rFonts w:ascii="Times New Roman;serif" w:hAnsi="Times New Roman;serif"/>
          <w:b w:val="false"/>
          <w:color w:val="000000"/>
          <w:sz w:val="20"/>
        </w:rPr>
        <w:t>, pursuant to the terms of the Combination, at the closing of the transaction on May 27, 2025, each issued and outstanding common share of Maiden, par value $0.01 per share, was automatically canceled and converted into the right to receive one-twentieth (0.05) of a common share in Kestrel Group Ltd. The equityholders of Kestrel at the closing date received 2,749,996 common shares of the Kestrel Group. Fractional shares for both Maiden and Kestrel were paid out in cash at the closing date.</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Company’s authorized share capital after the Combination consists of 42,500,000 common shares. The Company's common shares have a par value of $0.01 per share. Kestrel Group common shareholders are entitled to receive dividends. For the three and nine months ended September 30, 2025, the Company's Board of Directors did not declare any dividends to common shareholders. Holders of Kestrel Group common shares have no pre-emptive, redemption, conversion or sinking fund rights. Holders of Kestrel Group common shares are entitled to one vote per share on all matters submitted to a vote of holders of Kestrel Group common shares. Most matters to be approved by holders of Kestrel Group common shares require approval by a simple majority vote. Under the Kestrel Group bye-laws, the holders of at least a majority of the Kestrel Group common shares voting in person or by proxy at a meeting must approve any merger, amalgamation, business combination or similar transaction with another company.</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September 30, 2025, the aggregate authorized share capital of the Company is 42,500,000 shares of which 9,979,477 common shares were issued. This includes 7,741,943 common shares outstanding, and 2,237,534 treasury shares as discussed further below. The remaining 32,520,523 shares are undesignated at September 30, 2025. At September 30, 2025, there are 136,197 common shares that will be issued and outstanding upon vesting of restricted shares.</w:t>
      </w:r>
    </w:p>
    <w:p>
      <w:pPr>
        <w:pStyle w:val="TextBody"/>
        <w:bidi w:val="0"/>
        <w:spacing w:lineRule="auto" w:line="240" w:before="0" w:after="120"/>
        <w:ind w:left="0" w:right="0" w:hanging="270"/>
        <w:jc w:val="both"/>
        <w:rPr>
          <w:rFonts w:ascii="Times New Roman;serif" w:hAnsi="Times New Roman;serif"/>
          <w:b/>
          <w:i/>
          <w:color w:val="000000"/>
          <w:sz w:val="20"/>
        </w:rPr>
      </w:pPr>
      <w:r>
        <w:rPr>
          <w:rFonts w:ascii="Times New Roman;serif" w:hAnsi="Times New Roman;serif"/>
          <w:b/>
          <w:i/>
          <w:color w:val="000000"/>
          <w:sz w:val="20"/>
        </w:rPr>
        <w:t>b)Common Shares issuable under Incentive Plans</w:t>
      </w:r>
    </w:p>
    <w:p>
      <w:pPr>
        <w:pStyle w:val="TextBody"/>
        <w:bidi w:val="0"/>
        <w:spacing w:lineRule="auto" w:line="228"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June 3, 2025, a Registration Statement on Form S-8 was filed by Kestrel Group for the purpose of registering 1,411,600 common shares, par value $0.01 per share, of the Company which include:</w:t>
      </w:r>
    </w:p>
    <w:p>
      <w:pPr>
        <w:pStyle w:val="TextBody"/>
        <w:bidi w:val="0"/>
        <w:spacing w:lineRule="auto" w:line="228" w:before="0" w:after="120"/>
        <w:ind w:left="0" w:right="0" w:hanging="180"/>
        <w:jc w:val="both"/>
        <w:rPr/>
      </w:pPr>
      <w:r>
        <w:rPr>
          <w:color w:val="000000"/>
        </w:rPr>
        <w:t>•</w:t>
      </w:r>
      <w:r>
        <w:rPr>
          <w:rFonts w:ascii="Times New Roman;serif" w:hAnsi="Times New Roman;serif"/>
          <w:b w:val="false"/>
          <w:color w:val="000000"/>
          <w:sz w:val="20"/>
        </w:rPr>
        <w:t>206,600 common shares are issuable in respect of outstanding awards under the Maiden Holdings, Ltd. 2019 Omnibus Incentive Plan (“Legacy Plan”) and any such additional shares granted under the Legacy Plan that were forfeited, cancelled, exchanged or surrendered, including in connection with the termination or expiration of an award, that then become available under the Legacy Plan in accordance with its terms. The Legacy Plan was assigned to and assumed by the Company at the effective time of the mergers. Such aggregate number of common shares issuable under the Legacy Plan reflects the conversion required by the terms of the Combination Agreement; and</w:t>
      </w:r>
    </w:p>
    <w:p>
      <w:pPr>
        <w:pStyle w:val="TextBody"/>
        <w:bidi w:val="0"/>
        <w:spacing w:lineRule="auto" w:line="228" w:before="0" w:after="120"/>
        <w:ind w:left="0" w:right="0" w:hanging="180"/>
        <w:jc w:val="both"/>
        <w:rPr/>
      </w:pPr>
      <w:r>
        <w:rPr>
          <w:color w:val="000000"/>
        </w:rPr>
        <w:t>•</w:t>
      </w:r>
      <w:r>
        <w:rPr>
          <w:rFonts w:ascii="Times New Roman;serif" w:hAnsi="Times New Roman;serif"/>
          <w:b w:val="false"/>
          <w:color w:val="000000"/>
          <w:sz w:val="20"/>
        </w:rPr>
        <w:t>1,205,000 common shares are issuable under the Kestrel Group Ltd 2025 Equity Incentive Plan (“Kestrel Group Plan”).</w:t>
      </w:r>
    </w:p>
    <w:p>
      <w:pPr>
        <w:pStyle w:val="TextBody"/>
        <w:bidi w:val="0"/>
        <w:spacing w:lineRule="auto" w:line="240" w:before="0" w:after="120"/>
        <w:ind w:left="0" w:right="0" w:hanging="270"/>
        <w:jc w:val="both"/>
        <w:rPr>
          <w:rFonts w:ascii="Times New Roman;serif" w:hAnsi="Times New Roman;serif"/>
          <w:b/>
          <w:i/>
          <w:color w:val="000000"/>
          <w:sz w:val="20"/>
        </w:rPr>
      </w:pPr>
      <w:r>
        <w:rPr>
          <w:rFonts w:ascii="Times New Roman;serif" w:hAnsi="Times New Roman;serif"/>
          <w:b/>
          <w:i/>
          <w:color w:val="000000"/>
          <w:sz w:val="20"/>
        </w:rPr>
        <w:t>c)Treasury Shares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Treasury shares include 2,237,534 common shares owned by Maiden Reinsurance which are not treated as outstanding common shares on the Condensed Consolidated Balance Sheet at September 30, 2025. </w:t>
      </w:r>
    </w:p>
    <w:p>
      <w:pPr>
        <w:pStyle w:val="TextBody"/>
        <w:bidi w:val="0"/>
        <w:spacing w:lineRule="auto" w:line="240" w:before="0" w:after="120"/>
        <w:ind w:left="0" w:right="0" w:hanging="270"/>
        <w:jc w:val="left"/>
        <w:rPr>
          <w:rFonts w:ascii="Times New Roman;serif" w:hAnsi="Times New Roman;serif"/>
          <w:b/>
          <w:i/>
          <w:color w:val="000000"/>
          <w:sz w:val="20"/>
        </w:rPr>
      </w:pPr>
      <w:r>
        <w:rPr>
          <w:rFonts w:ascii="Times New Roman;serif" w:hAnsi="Times New Roman;serif"/>
          <w:b/>
          <w:i/>
          <w:color w:val="000000"/>
          <w:sz w:val="20"/>
        </w:rPr>
        <w:t>d)AOCI</w:t>
      </w:r>
    </w:p>
    <w:p>
      <w:pPr>
        <w:pStyle w:val="TextBody"/>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financial information regarding the changes in the balances of each component of AOCI:</w:t>
      </w:r>
    </w:p>
    <w:tbl>
      <w:tblPr>
        <w:tblW w:w="10205" w:type="dxa"/>
        <w:jc w:val="center"/>
        <w:tblInd w:w="0" w:type="dxa"/>
        <w:tblLayout w:type="fixed"/>
        <w:tblCellMar>
          <w:top w:w="28" w:type="dxa"/>
          <w:left w:w="28" w:type="dxa"/>
          <w:bottom w:w="28" w:type="dxa"/>
          <w:right w:w="28" w:type="dxa"/>
        </w:tblCellMar>
      </w:tblPr>
      <w:tblGrid>
        <w:gridCol w:w="1500"/>
        <w:gridCol w:w="1177"/>
        <w:gridCol w:w="1181"/>
        <w:gridCol w:w="109"/>
        <w:gridCol w:w="109"/>
        <w:gridCol w:w="109"/>
        <w:gridCol w:w="706"/>
        <w:gridCol w:w="1565"/>
        <w:gridCol w:w="369"/>
        <w:gridCol w:w="109"/>
        <w:gridCol w:w="109"/>
        <w:gridCol w:w="109"/>
        <w:gridCol w:w="386"/>
        <w:gridCol w:w="1249"/>
        <w:gridCol w:w="199"/>
        <w:gridCol w:w="109"/>
        <w:gridCol w:w="109"/>
        <w:gridCol w:w="109"/>
        <w:gridCol w:w="211"/>
        <w:gridCol w:w="523"/>
        <w:gridCol w:w="158"/>
      </w:tblGrid>
      <w:tr>
        <w:trPr/>
        <w:tc>
          <w:tcPr>
            <w:tcW w:w="150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net unrealized gains on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858"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36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9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 to net income, net of tax</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36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w:t>
            </w:r>
          </w:p>
        </w:tc>
        <w:tc>
          <w:tcPr>
            <w:tcW w:w="19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r>
      <w:tr>
        <w:trPr/>
        <w:tc>
          <w:tcPr>
            <w:tcW w:w="3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r>
      <w:tr>
        <w:trPr/>
        <w:tc>
          <w:tcPr>
            <w:tcW w:w="3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r>
      <w:tr>
        <w:trPr/>
        <w:tc>
          <w:tcPr>
            <w:tcW w:w="3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r>
      <w:tr>
        <w:trPr/>
        <w:tc>
          <w:tcPr>
            <w:tcW w:w="3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r>
      <w:tr>
        <w:trPr/>
        <w:tc>
          <w:tcPr>
            <w:tcW w:w="3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r>
      <w:tr>
        <w:trPr/>
        <w:tc>
          <w:tcPr>
            <w:tcW w:w="3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r>
      <w:tr>
        <w:trPr/>
        <w:tc>
          <w:tcPr>
            <w:tcW w:w="3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r>
      <w:tr>
        <w:trPr/>
        <w:tc>
          <w:tcPr>
            <w:tcW w:w="3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r>
      <w:tr>
        <w:trPr/>
        <w:tc>
          <w:tcPr>
            <w:tcW w:w="3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r>
      <w:tr>
        <w:trPr/>
        <w:tc>
          <w:tcPr>
            <w:tcW w:w="385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Nine Months Ended September 30, 2025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 in net unrealized gains on investment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8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85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36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w:t>
            </w:r>
          </w:p>
        </w:tc>
        <w:tc>
          <w:tcPr>
            <w:tcW w:w="19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5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 to net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36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w:t>
            </w:r>
          </w:p>
        </w:tc>
        <w:tc>
          <w:tcPr>
            <w:tcW w:w="19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5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r>
      <w:tr>
        <w:trPr/>
        <w:tc>
          <w:tcPr>
            <w:tcW w:w="3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r>
      <w:tr>
        <w:trPr/>
        <w:tc>
          <w:tcPr>
            <w:tcW w:w="3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r>
      <w:tr>
        <w:trPr/>
        <w:tc>
          <w:tcPr>
            <w:tcW w:w="3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r>
      <w:tr>
        <w:trPr/>
        <w:tc>
          <w:tcPr>
            <w:tcW w:w="3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r>
      <w:tr>
        <w:trPr/>
        <w:tc>
          <w:tcPr>
            <w:tcW w:w="3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r>
      <w:tr>
        <w:trPr/>
        <w:tc>
          <w:tcPr>
            <w:tcW w:w="3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r>
      <w:tr>
        <w:trPr/>
        <w:tc>
          <w:tcPr>
            <w:tcW w:w="3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r>
      <w:tr>
        <w:trPr/>
        <w:tc>
          <w:tcPr>
            <w:tcW w:w="3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r>
      <w:tr>
        <w:trPr/>
        <w:tc>
          <w:tcPr>
            <w:tcW w:w="3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00" w:after="120"/>
        <w:jc w:val="both"/>
        <w:rPr>
          <w:rFonts w:ascii="Times New Roman;serif" w:hAnsi="Times New Roman;serif"/>
          <w:b/>
          <w:color w:val="000000"/>
          <w:sz w:val="20"/>
        </w:rPr>
      </w:pPr>
      <w:r>
        <w:rPr>
          <w:rFonts w:ascii="Times New Roman;serif" w:hAnsi="Times New Roman;serif"/>
          <w:b/>
          <w:color w:val="000000"/>
          <w:sz w:val="20"/>
        </w:rPr>
        <w:t>7. Long-Term Debt</w:t>
      </w:r>
    </w:p>
    <w:p>
      <w:pPr>
        <w:pStyle w:val="TextBody"/>
        <w:bidi w:val="0"/>
        <w:spacing w:lineRule="auto" w:line="240" w:before="60" w:after="120"/>
        <w:jc w:val="both"/>
        <w:rPr>
          <w:rFonts w:ascii="Times New Roman;serif" w:hAnsi="Times New Roman;serif"/>
          <w:b/>
          <w:color w:val="000000"/>
          <w:sz w:val="20"/>
        </w:rPr>
      </w:pPr>
      <w:r>
        <w:rPr>
          <w:rFonts w:ascii="Times New Roman;serif" w:hAnsi="Times New Roman;serif"/>
          <w:b/>
          <w:color w:val="000000"/>
          <w:sz w:val="20"/>
        </w:rPr>
        <w:t>Senior Notes</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At September 30, 2025, Kestrel Group had outstanding publicly-traded senior notes which were issued in 2016 ("2016 Senior Notes") by its now wholly owned subsidiary Maiden and outstanding publicly-traded senior notes which were issued in 2013 ("2013 Senior Notes") by its now wholly owned subsidiary, Maiden Holdings North America, Ltd. ("Maiden NA"). These are collectively referred to as the Company's outstanding senior notes ("Senior Notes"). The Senior Notes are unsecured and unsubordinated obligations of the Company.</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May 27, 2025 in connection with the Combination, (i) Maiden, as issuer, the Company, as guarantor, and Wilmington Trust, National Association, as trustee, entered into a second supplemental indenture (the “Second Supplemental Indenture”) to that certain indenture dated as of June 14, 2016, providing that the Company will fully and unconditionally guarantee Maiden’s 6.625% Senior Notes due 2046 and (ii) Maiden NA, as issuer, the Company, as guarantor, and Wilmington Trust Company, as trustee, entered into a fourth supplemental indenture (together with the Second Supplemental Indenture, the “Supplemental Indentures”) to that certain indenture dated as of June 24, 2011, providing that the Company will fully and unconditionally guarantee MHNA’s 7.75% Senior Notes due 2043.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detail the issuances of Senior Notes outstanding at September 30, 2025:</w:t>
      </w:r>
    </w:p>
    <w:tbl>
      <w:tblPr>
        <w:tblW w:w="9267" w:type="dxa"/>
        <w:jc w:val="left"/>
        <w:tblInd w:w="0" w:type="dxa"/>
        <w:tblLayout w:type="fixed"/>
        <w:tblCellMar>
          <w:top w:w="28" w:type="dxa"/>
          <w:left w:w="28" w:type="dxa"/>
          <w:bottom w:w="28" w:type="dxa"/>
          <w:right w:w="28" w:type="dxa"/>
        </w:tblCellMar>
      </w:tblPr>
      <w:tblGrid>
        <w:gridCol w:w="1484"/>
        <w:gridCol w:w="1303"/>
        <w:gridCol w:w="1308"/>
        <w:gridCol w:w="109"/>
        <w:gridCol w:w="109"/>
        <w:gridCol w:w="109"/>
        <w:gridCol w:w="230"/>
        <w:gridCol w:w="900"/>
        <w:gridCol w:w="295"/>
        <w:gridCol w:w="109"/>
        <w:gridCol w:w="109"/>
        <w:gridCol w:w="109"/>
        <w:gridCol w:w="254"/>
        <w:gridCol w:w="995"/>
        <w:gridCol w:w="326"/>
        <w:gridCol w:w="109"/>
        <w:gridCol w:w="109"/>
        <w:gridCol w:w="109"/>
        <w:gridCol w:w="211"/>
        <w:gridCol w:w="826"/>
        <w:gridCol w:w="154"/>
      </w:tblGrid>
      <w:tr>
        <w:trPr/>
        <w:tc>
          <w:tcPr>
            <w:tcW w:w="1484"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2016 Senior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2013 Senior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95"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295"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152,361 </w:t>
            </w:r>
          </w:p>
        </w:tc>
        <w:tc>
          <w:tcPr>
            <w:tcW w:w="326"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15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fair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43,758 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44,519 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66,242 </w:t>
            </w:r>
          </w:p>
        </w:tc>
        <w:tc>
          <w:tcPr>
            <w:tcW w:w="295"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107,842 </w:t>
            </w:r>
          </w:p>
        </w:tc>
        <w:tc>
          <w:tcPr>
            <w:tcW w:w="326"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174,084 </w:t>
            </w:r>
          </w:p>
        </w:tc>
        <w:tc>
          <w:tcPr>
            <w:tcW w:w="15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Original fair value adjustment at acquisition date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43,928 </w:t>
            </w:r>
          </w:p>
        </w:tc>
        <w:tc>
          <w:tcPr>
            <w:tcW w:w="29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44,764 </w:t>
            </w:r>
          </w:p>
        </w:tc>
        <w:tc>
          <w:tcPr>
            <w:tcW w:w="32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Maturity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14, 2046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Earliest redeemable date (for cash)</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14, 2021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2018</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Coupon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interest rate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295"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32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Total interest and amortization expense incurred on the Senior Notes for the three and nine months ended September 30, 2025 was $5,077 and $6,976, respectively, of which $1,342 was accrued as interest payable at September 30, 2025. Under the Combination, the Senior Notes were acquired at their respective fair market values on May 27, 2025, therefore the difference between the principal amount of the acquired debt and the fair market value of the acquired debt is being amortized over the remaining life of the Senior Notes up to par value. The amortization for the fair value adjustment was $301 and $415 for the three and nine months ended September 30, 2025.</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Under the terms of the 2013 Senior Notes, the 2013 Senior Notes can be redeemed, in whole or in part, at Maiden NA's option at any time and from time to time, until maturity at a redemption price equal to 100% of the principal amount of the notes to be redeemed plus accrued but unpaid interest on the principal amount being redeemed to, but not including, the redemption date. Maiden NA is required to give at least thirty days and not more than sixty days notice prior to the redemption date. Please refer to </w:t>
      </w:r>
      <w:r>
        <w:rPr>
          <w:rFonts w:ascii="Times New Roman;serif" w:hAnsi="Times New Roman;serif"/>
          <w:b w:val="false"/>
          <w:i/>
          <w:color w:val="000000"/>
          <w:sz w:val="20"/>
        </w:rPr>
        <w:t xml:space="preserve">Note 11. Commitments, Contingencies and Guarantees </w:t>
      </w:r>
      <w:r>
        <w:rPr>
          <w:rFonts w:ascii="Times New Roman;serif" w:hAnsi="Times New Roman;serif"/>
          <w:b w:val="false"/>
          <w:color w:val="000000"/>
          <w:sz w:val="20"/>
        </w:rPr>
        <w:t>for recent litigation regarding the 2013 Senior Notes.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Under the terms of the 2016 Senior Notes, the 2016 Senior Notes can be redeemed, in whole or in part, at Maiden Holdings' option at any time and from time to time, until maturity at a redemption price equal to 100% of the principal amount of the notes to be redeemed plus accrued but unpaid interest on the principal amount being redeemed to, but not including, the redemption date. Maiden Holdings is required to give at least thirty days and not more than sixty days notice prior to the redemption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 xml:space="preserve">8. Reinsurance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uses reinsurance and retrocessional agreements ("ceded reinsurance") to mitigate volatility, reduce its exposure to certain risks and provide capital support. Ceded reinsurance provides for the recovery of a portion of loss and LAE under certain circumstances without relieving the Company of its obligations to the policyholders. The Company remains liable to the extent that any of its reinsurers or retrocessionaires fails to meet their obligations. Loss and LAE incurred and premiums earned are reported after deduction for ceded reinsurance. In the event that one or more of our reinsurers or retrocessionaires are unable to meet their obligations under these agreements, the Company would not realize the full value of the reinsurance recoverable balances.</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 of ceded reinsurance on net premiums written and earned and on net loss and LAE for the nine months ended September 30, 2025 was as follows: </w:t>
      </w:r>
    </w:p>
    <w:tbl>
      <w:tblPr>
        <w:tblW w:w="4720" w:type="dxa"/>
        <w:jc w:val="center"/>
        <w:tblInd w:w="0" w:type="dxa"/>
        <w:tblLayout w:type="fixed"/>
        <w:tblCellMar>
          <w:top w:w="28" w:type="dxa"/>
          <w:left w:w="28" w:type="dxa"/>
          <w:bottom w:w="28" w:type="dxa"/>
          <w:right w:w="28" w:type="dxa"/>
        </w:tblCellMar>
      </w:tblPr>
      <w:tblGrid>
        <w:gridCol w:w="1157"/>
        <w:gridCol w:w="1017"/>
        <w:gridCol w:w="1020"/>
        <w:gridCol w:w="109"/>
        <w:gridCol w:w="109"/>
        <w:gridCol w:w="109"/>
        <w:gridCol w:w="211"/>
        <w:gridCol w:w="616"/>
        <w:gridCol w:w="109"/>
        <w:gridCol w:w="109"/>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Premiums written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Ceded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Ceded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9,258 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Loss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Loss and LAE ceded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reinsurance recoverable on unpaid losses balance as at September 30, 2025 was $492,790 presented in the Condensed Consolidated Balance Sheets. As of September 30, 2025, the total allowance for expected credit losses on the Company's reinsurance recoverable balance was $1,459.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balances of the allowance for expected credit losses on reinsurance recoverable for the three and nine months ended September 30, 2025:</w:t>
      </w:r>
    </w:p>
    <w:tbl>
      <w:tblPr>
        <w:tblW w:w="10205" w:type="dxa"/>
        <w:jc w:val="left"/>
        <w:tblInd w:w="0" w:type="dxa"/>
        <w:tblLayout w:type="fixed"/>
        <w:tblCellMar>
          <w:top w:w="28" w:type="dxa"/>
          <w:left w:w="28" w:type="dxa"/>
          <w:bottom w:w="28" w:type="dxa"/>
          <w:right w:w="28" w:type="dxa"/>
        </w:tblCellMar>
      </w:tblPr>
      <w:tblGrid>
        <w:gridCol w:w="1736"/>
        <w:gridCol w:w="1489"/>
        <w:gridCol w:w="1492"/>
        <w:gridCol w:w="109"/>
        <w:gridCol w:w="109"/>
        <w:gridCol w:w="109"/>
        <w:gridCol w:w="344"/>
        <w:gridCol w:w="1005"/>
        <w:gridCol w:w="177"/>
        <w:gridCol w:w="177"/>
        <w:gridCol w:w="177"/>
        <w:gridCol w:w="177"/>
        <w:gridCol w:w="109"/>
        <w:gridCol w:w="1790"/>
        <w:gridCol w:w="211"/>
        <w:gridCol w:w="616"/>
        <w:gridCol w:w="109"/>
        <w:gridCol w:w="109"/>
        <w:gridCol w:w="160"/>
      </w:tblGrid>
      <w:tr>
        <w:trPr/>
        <w:tc>
          <w:tcPr>
            <w:tcW w:w="1736"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790"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1205" w:type="dxa"/>
            <w:gridSpan w:val="5"/>
            <w:tcBorders/>
          </w:tcPr>
          <w:p>
            <w:pPr>
              <w:pStyle w:val="TableContents"/>
              <w:bidi w:val="0"/>
              <w:spacing w:before="0" w:after="283"/>
              <w:jc w:val="left"/>
              <w:rPr>
                <w:sz w:val="4"/>
                <w:szCs w:val="4"/>
              </w:rPr>
            </w:pPr>
            <w:r>
              <w:rPr>
                <w:sz w:val="4"/>
                <w:szCs w:val="4"/>
              </w:rPr>
            </w:r>
          </w:p>
        </w:tc>
      </w:tr>
      <w:tr>
        <w:trPr/>
        <w:tc>
          <w:tcPr>
            <w:tcW w:w="47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17"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 on reinsurance recoverable, beginning of period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77"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credit losses on recoverables where credit losses were not previously recognized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17"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 allowance for expected credit losses on reinsurance recoverable where credit losses were previously recognized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7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Allowance for expected credit losses on reinsurance recoverable,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December 27, 2018, Cavello Bay Reinsurance Limited ("Cavello") and Maiden Reinsurance entered into a retrocession agreement pursuant to which certain assets and liabilities associated with the U.S. treaty reinsurance business held by Maiden Reinsurance were 100.0% retroceded to Cavello in exchange for a ceding commission. The reinsurance recoverable on unpaid losses due from Cavello under this retrocession agreement was $33,220 at September 30, 2025. The recoverable due from Cavello is net of an allowance for expected credit losses of $598 as at September 30, 2025.</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On July 31, 2019, Maiden Reinsurance and Cavello entered into a Loss Portfolio Transfer and Adverse Development Cover Agreement ("LPT/ADC Agreement") pursuant to which Cavello assumed the loss reserves as of December 31, 2018 associated with the AmTrust Quota Share in excess of a $2,178,535 retention up to $600,000, in exchange for a retrocession premium of $445,000. The $2,178,535 retention is subject to adjustment for paid losses subsequent to December 31, 2018. The LPT/ADC Agreement provides Maiden Reinsurance with $155,000 in adverse development cover over its carried AmTrust Quota Share loss reserves at December 31, 2018. The LPT/ADC Agreement meets the criteria for risk transfer and is thus accounted for as retroactive reinsurance. As of September 30, 2025, the reinsurance recoverable on unpaid losses under the LPT/ADC Agreement was $458,004 which was net of an allowance for expected credit losses of $695 as at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60" w:after="120"/>
        <w:jc w:val="left"/>
        <w:rPr>
          <w:rFonts w:ascii="Times New Roman;serif" w:hAnsi="Times New Roman;serif"/>
          <w:b/>
          <w:color w:val="000000"/>
          <w:sz w:val="20"/>
        </w:rPr>
      </w:pPr>
      <w:r>
        <w:rPr>
          <w:rFonts w:ascii="Times New Roman;serif" w:hAnsi="Times New Roman;serif"/>
          <w:b/>
          <w:color w:val="000000"/>
          <w:sz w:val="20"/>
        </w:rPr>
        <w:t>8. Reinsurance (continued)</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Cavello provided collateral in the form of a letter of credit in the amount of $445,000 to AmTrust under the LPT/ADC Agreement. Cavello is subject to additional collateral funding requirements as explained in </w:t>
      </w:r>
      <w:r>
        <w:rPr>
          <w:rFonts w:ascii="Times New Roman;serif" w:hAnsi="Times New Roman;serif"/>
          <w:b w:val="false"/>
          <w:i/>
          <w:color w:val="000000"/>
          <w:sz w:val="20"/>
        </w:rPr>
        <w:t xml:space="preserve">Note 10. Related Party Transactions. </w:t>
      </w:r>
      <w:r>
        <w:rPr>
          <w:rFonts w:ascii="Times New Roman;serif" w:hAnsi="Times New Roman;serif"/>
          <w:b w:val="false"/>
          <w:color w:val="000000"/>
          <w:sz w:val="20"/>
        </w:rPr>
        <w:t>As of September 30, 2025, the amount of collateral required was $390,388. Under the terms of the LPT/ADC Agreement, the covered losses associated with the Commutation and Release Agreement with AmTrust are eligible to be covered but recoverable only when such losses are paid or settled by AII or its affiliates, provided such losses and other related amounts shall not exceed $312,786. Cavello's parent company, Enstar Group Limited, has credit ratings of BBB+ from both Standard &amp; Poor's and Fitch Ratings at September 30, 2025.</w:t>
      </w:r>
    </w:p>
    <w:p>
      <w:pPr>
        <w:pStyle w:val="TextBody"/>
        <w:bidi w:val="0"/>
        <w:spacing w:lineRule="auto" w:line="240" w:before="6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July 18, 2025, the Company received correspondence from Cavello disputing the dates of loss assigned by Maiden Reinsurance’s cedant in the underlying reinsurance contract to a significant number of claims regarding certain coverage. In that correspondence, Cavello asserts that $46,700 in identified claims and approximately $25,000 in potential additional claims would fall outside the applicable coverage and reserves all of its rights under the applicable agreements if these matters are not resolved. This correspondence and the asserted amounts resulted from an audit requested by Cavello in December 2024 pursuant to its rights under the LPT/ADC Agreement. The Company is continuing to discuss and exchange information with Cavello on these matters and believes the terms of the LPT/ADC Agreement support both the Company’s position on the dates of loss and the current reinsurance recoverable Maiden Reinsurance has recognized for these claims. At this time, the Company cannot predict the outcome of these issues.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00" w:after="120"/>
        <w:jc w:val="left"/>
        <w:rPr>
          <w:rFonts w:ascii="Times New Roman;serif" w:hAnsi="Times New Roman;serif"/>
          <w:b/>
          <w:color w:val="000000"/>
          <w:sz w:val="20"/>
        </w:rPr>
      </w:pPr>
      <w:r>
        <w:rPr>
          <w:rFonts w:ascii="Times New Roman;serif" w:hAnsi="Times New Roman;serif"/>
          <w:b/>
          <w:color w:val="000000"/>
          <w:sz w:val="20"/>
        </w:rPr>
        <w:t xml:space="preserve">9. Reserve for Loss and Loss Adjustment Expenses </w:t>
      </w:r>
    </w:p>
    <w:p>
      <w:pPr>
        <w:pStyle w:val="TextBody"/>
        <w:bidi w:val="0"/>
        <w:spacing w:lineRule="auto" w:line="240" w:before="0" w:after="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both historical experience and industry-wide loss development factors to provide a reasonable basis for estimating future losses. In the future, certain events may be beyond the control of management, such as changes in law, judicial interpretations of law, and rates of inflation, which may favorably or unfavorably impact the ultimate settlement of the Company’s loss and LAE reserves. </w:t>
      </w:r>
    </w:p>
    <w:p>
      <w:pPr>
        <w:pStyle w:val="TextBody"/>
        <w:bidi w:val="0"/>
        <w:spacing w:lineRule="auto" w:line="240" w:before="0" w:after="80"/>
        <w:jc w:val="both"/>
        <w:rPr>
          <w:rFonts w:ascii="Times New Roman;serif" w:hAnsi="Times New Roman;serif"/>
          <w:b w:val="false"/>
          <w:color w:val="000000"/>
          <w:sz w:val="20"/>
        </w:rPr>
      </w:pPr>
      <w:r>
        <w:rPr>
          <w:rFonts w:ascii="Times New Roman;serif" w:hAnsi="Times New Roman;serif"/>
          <w:b w:val="false"/>
          <w:color w:val="000000"/>
          <w:sz w:val="20"/>
        </w:rPr>
        <w:t xml:space="preserve">The anticipated effect of inflation is implicitly considered when estimating liabilities for loss and LAE. While anticipated changes in claim costs due to inflation are considered in estimating the ultimate claim costs, changes in the average severity of claims are caused by a number of factors that vary with the individual type of policy written. Ultimate losses are projected based on historical trends adjusted for implemented changes in underwriting standards, claims handling, policy provisions, and general economic trends. Those anticipated trends are monitored based on actual development and are modified if necessary.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reserving process begins with the collection and analysis of paid losses and incurred claims data for each of the Company's contracts. While reserves are mostly reviewed on a contract by contract basis, paid loss and incurred claims data is also aggregated into reserving segments. The segmental data is disaggregated by reserving class and further disaggregated by either accident year (i.e. the year in which the loss event occurred) or by underwriting year (i.e. the year in which the contract generating the premium and losses incepted). In cases where the Company uses underwriting year information, reserves are subsequently allocated to the respective accident year. The reserve for loss and LAE consists of: </w:t>
      </w:r>
    </w:p>
    <w:tbl>
      <w:tblPr>
        <w:tblW w:w="6545" w:type="dxa"/>
        <w:jc w:val="center"/>
        <w:tblInd w:w="0" w:type="dxa"/>
        <w:tblLayout w:type="fixed"/>
        <w:tblCellMar>
          <w:top w:w="28" w:type="dxa"/>
          <w:left w:w="28" w:type="dxa"/>
          <w:bottom w:w="28" w:type="dxa"/>
          <w:right w:w="28" w:type="dxa"/>
        </w:tblCellMar>
      </w:tblPr>
      <w:tblGrid>
        <w:gridCol w:w="1594"/>
        <w:gridCol w:w="1401"/>
        <w:gridCol w:w="1415"/>
        <w:gridCol w:w="109"/>
        <w:gridCol w:w="109"/>
        <w:gridCol w:w="109"/>
        <w:gridCol w:w="284"/>
        <w:gridCol w:w="1114"/>
        <w:gridCol w:w="147"/>
        <w:gridCol w:w="109"/>
        <w:gridCol w:w="154"/>
      </w:tblGrid>
      <w:tr>
        <w:trPr/>
        <w:tc>
          <w:tcPr>
            <w:tcW w:w="159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Reserve for reported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333,514 </w:t>
            </w:r>
          </w:p>
        </w:tc>
        <w:tc>
          <w:tcPr>
            <w:tcW w:w="14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Reserve for losses incurred but not reported ("IBNR")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344,153 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Reserve for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677,667 </w:t>
            </w:r>
          </w:p>
        </w:tc>
        <w:tc>
          <w:tcPr>
            <w:tcW w:w="14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a reconciliation of our beginning and ending gross and net loss and LAE reserves: </w:t>
      </w:r>
    </w:p>
    <w:tbl>
      <w:tblPr>
        <w:tblW w:w="6505" w:type="dxa"/>
        <w:jc w:val="left"/>
        <w:tblInd w:w="0" w:type="dxa"/>
        <w:tblLayout w:type="fixed"/>
        <w:tblCellMar>
          <w:top w:w="28" w:type="dxa"/>
          <w:left w:w="28" w:type="dxa"/>
          <w:bottom w:w="28" w:type="dxa"/>
          <w:right w:w="28" w:type="dxa"/>
        </w:tblCellMar>
      </w:tblPr>
      <w:tblGrid>
        <w:gridCol w:w="1728"/>
        <w:gridCol w:w="1518"/>
        <w:gridCol w:w="1523"/>
        <w:gridCol w:w="109"/>
        <w:gridCol w:w="109"/>
        <w:gridCol w:w="109"/>
        <w:gridCol w:w="211"/>
        <w:gridCol w:w="826"/>
        <w:gridCol w:w="109"/>
        <w:gridCol w:w="109"/>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loss and LAE reserves, January 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Less: reinsurance recoverable on unpaid losses, January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and LAE reserves, January 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incurred losses related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paid losses related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(47,135)</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Maiden Legacy run-off business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movements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6,458 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 reserves,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 on unpaid losses, September 30</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492,790 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 and LAE reserves,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677,667 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both"/>
        <w:rPr/>
      </w:pPr>
      <w:r>
        <w:rPr>
          <w:rFonts w:ascii="Times New Roman;serif" w:hAnsi="Times New Roman;serif"/>
          <w:b/>
          <w:i/>
          <w:color w:val="010202"/>
          <w:sz w:val="20"/>
          <w:u w:val="single"/>
        </w:rPr>
        <w:t>Actuarial Methods Used to Estimate Loss and LAE Reserves</w:t>
      </w:r>
      <w:r>
        <w:rPr>
          <w:color w:val="010202"/>
        </w:rPr>
        <w:t xml:space="preserv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utilizes a variety of standard actuarial methods in its analysis of loss reserves. The selections from these various methods are based on the loss development characteristics of the specific line of business and significant actuarial judgment. The actuarial methods utilized include: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Expected Loss Ratio ("ELR") method is a technique that is multiplicative and applies an expected loss ratio to premium earned to yield the estimated ultimate losses. The ELR assumption is generally derived from pricing information and historical experience of the business. This method is frequently used for the purpose of stability in the early valuations of an underwriting year with large and uncertain loss development factors. The ELR technique does not take into account actual loss emergence for the underwriting year being projected. As an underwriting year matures and actual loss experience becomes more credible, other methods may be applied in determining the estimated ultimate losses.</w:t>
      </w:r>
    </w:p>
    <w:p>
      <w:pPr>
        <w:pStyle w:val="TextBody"/>
        <w:bidi w:val="0"/>
        <w:spacing w:before="0" w:after="120"/>
        <w:ind w:left="0" w:right="0" w:firstLine="270"/>
        <w:jc w:val="both"/>
        <w:rPr/>
      </w:pPr>
      <w:r>
        <w:rPr/>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00" w:after="120"/>
        <w:jc w:val="left"/>
        <w:rPr>
          <w:rFonts w:ascii="Times New Roman;serif" w:hAnsi="Times New Roman;serif"/>
          <w:b/>
          <w:color w:val="000000"/>
          <w:sz w:val="20"/>
        </w:rPr>
      </w:pPr>
      <w:r>
        <w:rPr>
          <w:rFonts w:ascii="Times New Roman;serif" w:hAnsi="Times New Roman;serif"/>
          <w:b/>
          <w:color w:val="000000"/>
          <w:sz w:val="20"/>
        </w:rPr>
        <w:t>9. Reserve for Loss and Loss Adjustment Expenses (continued)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Loss Development ("LD") method is a reserving method in which ultimate losses are estimated by applying a loss development factor to actual reported (or paid) loss experience. This method fully utilizes actual experience. Multiplication of underwriting year actual reported (or paid) losses by its respective development factor produces the estimated ultimate losses.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LD method is based upon the assumption that the relative change in a given underwriting year’s losses from one evaluation point to the next is similar to the relative change in prior underwriting years’ losses at similar evaluation points. In addition, this method is based on the assumption that the reserving and payment patterns as well as the claim handling procedures have not changed substantially over time. In the case where changes to the payment patterns or the claim handling procedures are identified, historical losses are adjusted to the current basis, and development factors are selected based on the relative change of the adjusted losses (the Berquist Sherman method is one example of this approach). When a company has a sufficiently reliable loss development history, a development pattern based on the company’s historical indications may be used to develop losses to ultimate values.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Bornhuetter-Ferguson ("BF") reserving technique is used for long-tailed or lower frequency, more volatile lines. It is also useful in situations where the reported loss experience is relatively immature and/or lacks sufficient credibility for the application of methods that are more heavily reliant on emerged experience. The BF method is an additive IBNR method that combines the ELR and LD techniques by splitting the expected loss into two pieces - expected reported (or paid) losses and expected unreported (or unpaid) losses. Expected unreported (unpaid) losses, estimated by the use of loss development factors, are added to the current actual reported (or paid) losses to produce an estimate of ultimate losses by underwriting year. The BF method introduces an element of stability that moderates the impact of inconsistent changes in paid and reported losses.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average frequency and severity ("FS") reserving technique is used for lines where claim count is available, and the estimate of loss development factors is more difficult due to volatility in historical data. The available data for such lines is usually more volatile in the estimation of future losses using the LD and BF reserving methods. The FS method uses historical data to estimate the average number of ultimate claims (frequency) and the average costs of closed claims (severity). The estimate of ultimate losses by underwriting year is the result of the multiplication of the ultimate number of claims and the average cost of a claim.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With the guidance of the methods above, actuarial judgment is applied in the determination of ultimate losses. In general, the Company’s segments have varying levels of seasoning with which the Company has direct experience and as a result, differing methods are utilized to estimate loss and LAE reserves in each segment.</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Diversified Reinsurance legacy business, the Company utilizes the ELR approach at the onset of reserving an account, the BF method for business with less but maturing loss experience, and as the experience matures the LD method. For proportional or pro-rata business, the Company typically relies heavily on the actual historical contract experience to estimate reserving parameters such as loss development factors, whereas for excess of loss business there will be more usage of industry and/or Company benchmark assumptions.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Maiden Reinsurance underwrote the AmTrust Reinsurance legacy business from July 1, 2007 until January 30, 2019, when Maiden Reinsurance and AII agreed to terminate the remaining business subject to the AmTrust Quota Share on a run-off basis effective as of January 1, 2019, and Maiden Reinsurance, AEL and AIU DAC agreed to terminate the European Hospital Liability Quota Share on a run-off basis effective as of January 1, 2019. A large proportion of the exposure in the underlying book of business has significant seasoning, and allows for a significant amount of credibility in using parameters derived from historical experience to calculate reserve estimates. Some segments of the book are a result of recent acquisitions or newer markets for AmTrust. These segments require a greater level of assumptions and professional judgment in deriving ultimate losses, which inherently implies a wider range of reasonable estimates. As a result, the Company has tended to rely on a weighted approach which primarily employs the LD method for aspects of the segment with ample historical data, while also considering the ELR or the BF method for exposures with more limited or volatile historical data. The FS method is also considered for segments of the AmTrust Legacy Reinsurance book of business for which claim count information is available. Additional data detailing items such as class of business, state, claim counts, frequency and severity is available, further enhancing the reserve analysis. </w:t>
      </w:r>
    </w:p>
    <w:p>
      <w:pPr>
        <w:pStyle w:val="TextBody"/>
        <w:bidi w:val="0"/>
        <w:spacing w:lineRule="auto" w:line="240" w:before="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Prior period loss development ("PPD") arises from changes to loss estimates recognized in the current year that relate to loss reserves established in previous calendar years. The favorable or unfavorable PPD reflects changes in management's best estimate of the ultimate losses under the relevant reinsurance policies after considerable review of changes in actuarial assessments. </w:t>
      </w:r>
    </w:p>
    <w:p>
      <w:pPr>
        <w:pStyle w:val="TextBody"/>
        <w:bidi w:val="0"/>
        <w:spacing w:before="0" w:after="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00" w:after="120"/>
        <w:jc w:val="both"/>
        <w:rPr>
          <w:rFonts w:ascii="Times New Roman;serif" w:hAnsi="Times New Roman;serif"/>
          <w:b/>
          <w:color w:val="000000"/>
          <w:sz w:val="20"/>
        </w:rPr>
      </w:pPr>
      <w:r>
        <w:rPr>
          <w:rFonts w:ascii="Times New Roman;serif" w:hAnsi="Times New Roman;serif"/>
          <w:b/>
          <w:color w:val="000000"/>
          <w:sz w:val="20"/>
        </w:rPr>
        <w:t>9. Reserve for Loss and Loss Adjustment Expenses (continued)</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total PPD for our Legacy Reinsurance segment for the three and nine months ended September 30, 2025:</w:t>
      </w:r>
    </w:p>
    <w:tbl>
      <w:tblPr>
        <w:tblW w:w="10205" w:type="dxa"/>
        <w:jc w:val="center"/>
        <w:tblInd w:w="0" w:type="dxa"/>
        <w:tblLayout w:type="fixed"/>
        <w:tblCellMar>
          <w:top w:w="28" w:type="dxa"/>
          <w:left w:w="28" w:type="dxa"/>
          <w:bottom w:w="28" w:type="dxa"/>
          <w:right w:w="28" w:type="dxa"/>
        </w:tblCellMar>
      </w:tblPr>
      <w:tblGrid>
        <w:gridCol w:w="1131"/>
        <w:gridCol w:w="967"/>
        <w:gridCol w:w="972"/>
        <w:gridCol w:w="109"/>
        <w:gridCol w:w="109"/>
        <w:gridCol w:w="109"/>
        <w:gridCol w:w="585"/>
        <w:gridCol w:w="1710"/>
        <w:gridCol w:w="302"/>
        <w:gridCol w:w="109"/>
        <w:gridCol w:w="2516"/>
        <w:gridCol w:w="109"/>
        <w:gridCol w:w="109"/>
        <w:gridCol w:w="109"/>
        <w:gridCol w:w="211"/>
        <w:gridCol w:w="673"/>
        <w:gridCol w:w="109"/>
        <w:gridCol w:w="109"/>
        <w:gridCol w:w="157"/>
      </w:tblGrid>
      <w:tr>
        <w:trPr/>
        <w:tc>
          <w:tcPr>
            <w:tcW w:w="113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1586" w:type="dxa"/>
            <w:gridSpan w:val="8"/>
            <w:tcBorders/>
          </w:tcPr>
          <w:p>
            <w:pPr>
              <w:pStyle w:val="TableContents"/>
              <w:bidi w:val="0"/>
              <w:spacing w:before="0" w:after="283"/>
              <w:jc w:val="left"/>
              <w:rPr>
                <w:sz w:val="4"/>
                <w:szCs w:val="4"/>
              </w:rPr>
            </w:pPr>
            <w:r>
              <w:rPr>
                <w:sz w:val="4"/>
                <w:szCs w:val="4"/>
              </w:rPr>
            </w:r>
          </w:p>
        </w:tc>
      </w:tr>
      <w:tr>
        <w:trPr/>
        <w:tc>
          <w:tcPr>
            <w:tcW w:w="3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Prior Year Loss Development (favorable) adverse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35"/>
              <w:jc w:val="left"/>
              <w:rPr>
                <w:sz w:val="4"/>
                <w:szCs w:val="4"/>
              </w:rPr>
            </w:pPr>
            <w:r>
              <w:rPr>
                <w:sz w:val="4"/>
                <w:szCs w:val="4"/>
              </w:rPr>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Reinsurance legacy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35"/>
              <w:jc w:val="left"/>
              <w:rPr>
                <w:sz w:val="4"/>
                <w:szCs w:val="4"/>
              </w:rPr>
            </w:pPr>
            <w:r>
              <w:rPr>
                <w:sz w:val="4"/>
                <w:szCs w:val="4"/>
              </w:rPr>
            </w:r>
          </w:p>
        </w:tc>
      </w:tr>
      <w:tr>
        <w:trPr/>
        <w:tc>
          <w:tcPr>
            <w:tcW w:w="307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Reinsurance legacy business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6,911 </w:t>
            </w:r>
          </w:p>
        </w:tc>
        <w:tc>
          <w:tcPr>
            <w:tcW w:w="30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PPD for Legacy Reinsurance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6,620 </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00" w:after="120"/>
        <w:jc w:val="both"/>
        <w:rPr>
          <w:rFonts w:ascii="Times New Roman;serif" w:hAnsi="Times New Roman;serif"/>
          <w:b/>
          <w:i/>
          <w:color w:val="000000"/>
          <w:sz w:val="20"/>
        </w:rPr>
      </w:pPr>
      <w:r>
        <w:rPr>
          <w:rFonts w:ascii="Times New Roman;serif" w:hAnsi="Times New Roman;serif"/>
          <w:b/>
          <w:i/>
          <w:color w:val="000000"/>
          <w:sz w:val="20"/>
        </w:rPr>
        <w:t>Legacy Reinsurance Segment: Diversified Business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the Diversified Reinsurance legacy operations, the favorable PPD was $291 and $166 for the three and nine months ended September 30, 2025, respectively, which was primarily driven by favorable development in run-off business.</w:t>
      </w:r>
    </w:p>
    <w:p>
      <w:pPr>
        <w:pStyle w:val="TextBody"/>
        <w:bidi w:val="0"/>
        <w:spacing w:lineRule="auto" w:line="240" w:before="60" w:after="120"/>
        <w:jc w:val="both"/>
        <w:rPr>
          <w:rFonts w:ascii="Times New Roman;serif" w:hAnsi="Times New Roman;serif"/>
          <w:b/>
          <w:i/>
          <w:color w:val="000000"/>
          <w:sz w:val="20"/>
        </w:rPr>
      </w:pPr>
      <w:r>
        <w:rPr>
          <w:rFonts w:ascii="Times New Roman;serif" w:hAnsi="Times New Roman;serif"/>
          <w:b/>
          <w:i/>
          <w:color w:val="000000"/>
          <w:sz w:val="20"/>
        </w:rPr>
        <w:t>Legacy Reinsurance Segment: AmTrust Business</w:t>
      </w:r>
    </w:p>
    <w:p>
      <w:pPr>
        <w:pStyle w:val="TextBody"/>
        <w:bidi w:val="0"/>
        <w:spacing w:lineRule="auto" w:line="244"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shows PPD for the AmTrust Reinsurance legacy operations for the three and nine months ended September 30, 2025: </w:t>
      </w:r>
    </w:p>
    <w:tbl>
      <w:tblPr>
        <w:tblW w:w="10205" w:type="dxa"/>
        <w:jc w:val="center"/>
        <w:tblInd w:w="0" w:type="dxa"/>
        <w:tblLayout w:type="fixed"/>
        <w:tblCellMar>
          <w:top w:w="28" w:type="dxa"/>
          <w:left w:w="28" w:type="dxa"/>
          <w:bottom w:w="28" w:type="dxa"/>
          <w:right w:w="28" w:type="dxa"/>
        </w:tblCellMar>
      </w:tblPr>
      <w:tblGrid>
        <w:gridCol w:w="1141"/>
        <w:gridCol w:w="980"/>
        <w:gridCol w:w="986"/>
        <w:gridCol w:w="109"/>
        <w:gridCol w:w="109"/>
        <w:gridCol w:w="109"/>
        <w:gridCol w:w="440"/>
        <w:gridCol w:w="1430"/>
        <w:gridCol w:w="227"/>
        <w:gridCol w:w="227"/>
        <w:gridCol w:w="227"/>
        <w:gridCol w:w="227"/>
        <w:gridCol w:w="109"/>
        <w:gridCol w:w="2617"/>
        <w:gridCol w:w="211"/>
        <w:gridCol w:w="676"/>
        <w:gridCol w:w="109"/>
        <w:gridCol w:w="109"/>
        <w:gridCol w:w="162"/>
      </w:tblGrid>
      <w:tr>
        <w:trPr/>
        <w:tc>
          <w:tcPr>
            <w:tcW w:w="114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617"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1267" w:type="dxa"/>
            <w:gridSpan w:val="5"/>
            <w:tcBorders/>
          </w:tcPr>
          <w:p>
            <w:pPr>
              <w:pStyle w:val="TableContents"/>
              <w:bidi w:val="0"/>
              <w:spacing w:before="0" w:after="283"/>
              <w:jc w:val="left"/>
              <w:rPr>
                <w:sz w:val="4"/>
                <w:szCs w:val="4"/>
              </w:rPr>
            </w:pPr>
            <w:r>
              <w:rPr>
                <w:sz w:val="4"/>
                <w:szCs w:val="4"/>
              </w:rPr>
            </w:r>
          </w:p>
        </w:tc>
      </w:tr>
      <w:tr>
        <w:trPr/>
        <w:tc>
          <w:tcPr>
            <w:tcW w:w="3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Prior Year Loss Development (favorable) adverse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7"/>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ind w:left="0" w:right="0" w:hanging="135"/>
              <w:jc w:val="center"/>
              <w:rPr>
                <w:color w:val="000000"/>
              </w:rPr>
            </w:pPr>
            <w:r>
              <w:rPr>
                <w:color w:val="000000"/>
              </w:rPr>
              <w:t> </w:t>
            </w:r>
          </w:p>
        </w:tc>
        <w:tc>
          <w:tcPr>
            <w:tcW w:w="3884" w:type="dxa"/>
            <w:gridSpan w:val="6"/>
            <w:tcBorders/>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Quota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35"/>
              <w:jc w:val="left"/>
              <w:rPr>
                <w:sz w:val="4"/>
                <w:szCs w:val="4"/>
              </w:rPr>
            </w:pPr>
            <w:r>
              <w:rPr>
                <w:sz w:val="4"/>
                <w:szCs w:val="4"/>
              </w:rPr>
            </w:r>
          </w:p>
        </w:tc>
      </w:tr>
      <w:tr>
        <w:trPr/>
        <w:tc>
          <w:tcPr>
            <w:tcW w:w="310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LPT/ADC Agreement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3,601 </w:t>
            </w:r>
          </w:p>
        </w:tc>
        <w:tc>
          <w:tcPr>
            <w:tcW w:w="22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35"/>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Hospital Liability Quota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35"/>
              <w:jc w:val="left"/>
              <w:rPr>
                <w:sz w:val="4"/>
                <w:szCs w:val="4"/>
              </w:rPr>
            </w:pPr>
            <w:r>
              <w:rPr>
                <w:sz w:val="4"/>
                <w:szCs w:val="4"/>
              </w:rPr>
            </w:r>
          </w:p>
        </w:tc>
      </w:tr>
      <w:tr>
        <w:trPr/>
        <w:tc>
          <w:tcPr>
            <w:tcW w:w="310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AmTrust Reinsurance PPD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6,911 </w:t>
            </w:r>
          </w:p>
        </w:tc>
        <w:tc>
          <w:tcPr>
            <w:tcW w:w="22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PPD for AmTrust Reinsurance was primarily driven by adverse development in the European Hospital Liability Quota Share for the three and nine months ended September 30, 2025, respectively. Total PPD was largely due to additional development recognized on European Hospital Liability business due to adjustments for certain death claims and a reduction in recoveries anticipated under the LPT/ADC Agreement which were offset by favorable development on worker's compensation and other lines of business in the AmTrust Quota Share.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120" w:after="120"/>
        <w:jc w:val="left"/>
        <w:rPr>
          <w:rFonts w:ascii="Times New Roman;serif" w:hAnsi="Times New Roman;serif"/>
          <w:b/>
          <w:color w:val="000000"/>
          <w:sz w:val="20"/>
        </w:rPr>
      </w:pPr>
      <w:r>
        <w:rPr>
          <w:rFonts w:ascii="Times New Roman;serif" w:hAnsi="Times New Roman;serif"/>
          <w:b/>
          <w:color w:val="000000"/>
          <w:sz w:val="20"/>
        </w:rPr>
        <w:t xml:space="preserve">10. Related Party Transactions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Kestrel Intermediate Ledbetter Holdings, LLC ("KILH") was the controlling shareholder of Kestrel. In addition, Terry Ledbetter, the Company's Executive Chairman of the Board of Directors and Luke Ledbetter, the Company's Chief Executive Officer were the founding shareholders of KILH.</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Founding Shareholders of Maiden were Michael Karfunkel, George Karfunkel and Barry Zyskind. Leah Karfunkel (wife of the late Michael Karfunkel) and George Karfunkel are directors of AmTrust, and Barry Zyskind is the chief executive officer and chairman of AmTrust. Leah Karfunkel, George Karfunkel and Barry Zyskind own or control approximately 55.2% of the ownership interests of Evergreen Parent, L.P., the ultimate parent of AmTrust.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describes transactions that have transpired between and among the Company (including Maiden), KILH and AmTrust.</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KILH and AmTrust were Kestrel Equityholders, and received Common Shares at closing of the Combination in proportion to its equity interest in Kestrel prior to the closing. Barry Zyskind, George Karfunkel and Leah Karfunkel were individually shareholders of Maiden prior to closing of the Combination, and received common shares at the closing of the Combination in proportion to their respective equity interests in Maiden prior to the closing.</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Combination, the Kestrel equityholders at the closing date received 2,749,996 common shares of the combined company. The proportionate interest in these shares include 1,811,764 Common Shares issued to KILH for the benefit of Terry Ledbetter and Luke Ledbetter, constituting 18.2% of the Company's issued Common Shares at September 30, 2025, and 776,470 Common Shares issued to AmTrust, constituting 7.7% of the Company's issued Common Shares at September 30, 2025.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Barry Zyskind is the beneficial owner of 318,714 Common Shares, constituting 4.1% of the Common Shares outstanding. George Karfunkel is the beneficial owner of 80,000 Common Shares, constituting 1.0% of the Common Shares outstanding. Leah Karfunkel is the beneficial owner of 339,630 Common Shares, constituting 4.4% of the Common Shares outstanding.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By reason of his position as the chairman and chief executive officer of AmTrust and his equity interest in AmTrust, Barry Zyskind may be deemed to beneficially own the Common Shares owned by AmTrust. By reason of their membership on the board of directors of AmTrust and their equity interests in AmTrust, each of George Karfunkel and Leah Karfunkel may be also be deemed to beneficially own the Common Shares owned by AmTrust. Therefore, including the 776,470 Common Shares of owned by AmTrust, Barry Zyskind beneficially owns 1,094,754 Common Shares, constituting 11.0% of the Common Shares outstanding; George Karfunkel beneficially owns 856,040 Common Shares, constituting 8.6% of the Common Shares outstanding; and Leah Karfunkel beneficially owns 1,115,670 Common Shares, constituting 11.2% of the Common Shares outstanding. Each of Barry Zyskind, George Karfunkel and Leah Karfunkel disclaim beneficial ownership of the Common Shares owned by AmTrust to the extent permitted by law.</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As discussed above, AmTrust holds approximately 7.7% of the issued and outstanding Kestrel Group common shares and has the right to nominate (a) one non-independent director to the Kestrel Group Ltd board of directors for so long as AmTrust and its affiliates own at least 25% of the shares of Kestrel Group issued to them at the closing of the Combination, and (b) two independent directors to the Kestrel Group board of directors for so long as AmTrust and its affiliates own at least 5% of the shares of Kestrel Group and at least 25% of the shares of Kestrel Group issued to them at the closing of the Combination. Kestrel Group writes its business on a fronting basis initially through the AmTrust Insurance Companies, and will cede up to 100% of underwriting risk in exchange for a ceding fee based on gross premiums written. In addition, AmTrust provides additional services in relation to the AmTrust Insurance Companies pursuant to a management agreement with Kestrel Insurance Agency, including compliance, data reporting, data flow and information technology systems. As a result, Kestrel Group relies on its strategic partnership with AmTrust as a related party.</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Management Agreement with AmTrust</w:t>
      </w:r>
    </w:p>
    <w:p>
      <w:pPr>
        <w:pStyle w:val="TextBody"/>
        <w:bidi w:val="0"/>
        <w:spacing w:lineRule="auto" w:line="244"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 July 26, 2022 Unit Purchase Agreement, AmTrust North America Inc. acquired a 30% minority interest in Kestrel with the option for the Company to purchase certain insurance carriers owned by AmTrust North America Inc. The Company also receives professional and administrative services through an expense reimbursement arrangement under the management agreement referenced below with AmTrust North America Inc. The Company incurred costs related to this agreement of $93 and $337 during the three and nine months ended September 30, 2025, respectively, compared to $91 and $707 for the same respective periods in 2024. These amounts are presented in general and administrative fees in the condensed consolidated statement of operations and include professional services such as statutory financial reporting, IT processing, legal contracting, and insurance company compliance functions. </w:t>
      </w:r>
    </w:p>
    <w:p>
      <w:pPr>
        <w:pStyle w:val="TextBody"/>
        <w:bidi w:val="0"/>
        <w:spacing w:lineRule="auto" w:line="244"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has an exclusive management contract with AmTrust North America Inc. to produce business through its use of A.M. Best A- FSC XV insurance carriers, including Sierra Specialty Insurance Company, Rochdale Insurance Company, Park National Insurance Company, and Republic Fire and Casualty Insurance Company, all subsidiaries of AmTrust. In connection with the Combination Agreement, Kestrel will have the option to acquire these insurers from AmTrust for a period of up to three years after the closing date. All fee revenue earned during the three and nine months ended September 30, 2025 and 2024 were based on the net premiums associated with this agreement. </w: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10. Related Party Transactions (continued)</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Board of Directors of the Company</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Following completion of the Combination, the board of directors of Kestrel Group consists of seven directors, made up of four directors selected by KILH, two of whom are independent under applicable securities laws and stock exchange rules, and three directors selected by AmTrust, two of whom are independent under applicable securities laws and stock exchange rules. Please also refer to </w:t>
      </w:r>
      <w:r>
        <w:rPr>
          <w:rFonts w:ascii="Times New Roman;serif" w:hAnsi="Times New Roman;serif"/>
          <w:b w:val="false"/>
          <w:i/>
          <w:color w:val="000000"/>
          <w:sz w:val="20"/>
        </w:rPr>
        <w:t>Note. 11. Commitments</w:t>
      </w:r>
      <w:r>
        <w:rPr>
          <w:color w:val="000000"/>
        </w:rPr>
        <w:t xml:space="preserve"> </w:t>
      </w:r>
      <w:r>
        <w:rPr>
          <w:rFonts w:ascii="Times New Roman;serif" w:hAnsi="Times New Roman;serif"/>
          <w:b w:val="false"/>
          <w:color w:val="000000"/>
          <w:sz w:val="20"/>
        </w:rPr>
        <w:t>for details of the related party lease agreement with Terry Ledbetter, who is the Company's Executive Chairman, which is effective until January 31, 2026.</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describes the legacy reinsurance transactions that have transpired between Maiden and AmTrust:</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 xml:space="preserve">AmTrust Quota Share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Effective July 1, 2007, Maiden and AmTrust entered into a master agreement, as amended ("Master Agreement"), by which they caused Maiden Reinsurance and AII to enter into the AmTrust Quota Share by which AII retroceded to Maiden Reinsurance an amount equal to 40% of the premium written by subsidiaries of AmTrust, net of the cost of unaffiliated inuring reinsurance and 40% of losses. The Master Agreement further provided that AII receive a ceding commission of 31% of ceded written premiums.</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On June 11, 2008, Maiden Reinsurance and AII amended the AmTrust Quota Share to add Retail Commercial Package Business to the Covered Business (as defined in the AmTrust Quota Share). AII receives a ceding commission of 34.375% on Retail Commercial Package Business. On July 1, 2016, the agreement was renewed through June 30, 2019. Effective July 1, 2018, the amount AEL ceded to Maiden Reinsurance was reduced to 20%.</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Effective July 1, 2013, for the Specialty Program portion of Covered Business only, AII was responsible for ultimate net loss otherwise recoverable from Maiden Reinsurance to the extent that the loss ratio to Maiden Reinsurance, which shall be determined on an inception to date basis from July 1, 2007 through the date of calculation, is between 81.5% and 95% ("Loss Corridor"). Above and below the Loss Corridor, Maiden Reinsurance continued to reinsure losses at its proportional 40% share of the AmTrust Quota Share. Effective July 31, 2019, the Loss Corridor was amended such that the maximum amount covered is $40,500, the amount calculated by Maiden Reinsurance for the Loss Corridor coverage as of March 31, 2019. Any development above this maximum amount will be subject to the coverage of the LPT/ADC Agreement.</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Effective January 1, 2019, Maiden Reinsurance and AII entered into a partial termination amendment ("Partial Termination Amendment") which amended the AmTrust Quota Share. The Partial Termination Amendment provided for the cut-off of the ongoing and unearned premium of AmTrust’s Small Commercial Business and U.S. Specialty Risk and Extended Warranty ("Terminated Business") as of December 31, 2018. Under the Partial Termination Amendment, the ceding commission payable by Maiden Reinsurance for its remaining in-force business immediately prior to January 1, 2019 increased by five percentage points with respect to in-force remaining business (excluding Terminated Business) and related unearned premium as of January 1, 2019. Subsequently, on January 30, 2019, Maiden Reinsurance and AII agreed to terminate the remaining business subject to the AmTrust Quota Share on a run-off basis effective as of January 1, 2019.</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Effective July 31, 2019, Maiden Reinsurance and AII entered into a Commutation and Release Agreement which provided for AII to assume all reserves ceded by AII to Maiden Reinsurance with respect to its proportional 40% share of the ultimate net loss under the AmTrust Quota Share related to the commuted business including: (a) all losses incurred in Accident Year 2017 and Accident Year 2018 under California workers' compensation policies and as defined in the AmTrust Quota Share ("Commuted California Business"); and (b) all losses incurred in Accident Year 2018 under New York workers' compensation policies ("Commuted New York Business"), and together with the Commuted California Business ("Commuted Business") in exchange for the release and full discharge of Maiden Reinsurance's obligations to AII with respect to the Commuted Business. The Commuted Business excludes any business classified by AII as Specialty Program or Specialty Risk business.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AII and Maiden Reinsurance also agreed that as of July 31, 2019, the AmTrust Quota Share was deemed amended as applicable so that the Commuted Business is no longer included as part of Covered Business under the AmTrust Quota Share.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January 30, 2019, in connection with the termination of the reinsurance agreement described above, the Company and AmTrust entered into a second amendment to the Master Agreement between the parties, originally entered into on July 3, 2007, to remove the provisions requiring AmTrust to reinsure business with the Company.</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European Hospital Liability Quota Share</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Effective April 1, 2011, Maiden Reinsurance entered into the European Hospital Liability Quota Share with AEL and AIU DAC. Pursuant to the terms of the European Hospital Liability Quota Share, Maiden Reinsurance assumed 40% of the premiums and losses related to policies classified as European Hospital Liability, including associated liability coverages and policies covering physician defense costs, written or renewed on or after April 1, 2011. The European Hospital Liability Quota Share also covers policies written or renewed on or before March 31, 2011, but only with respect to losses that occur, accrue or arise on or after April 1, 2011. The maximum limit of liability attaching shall be €5,000 (€10,000 effective January 1, 2012) or currency equivalent (on a 100% basis) per original claim for any one original policy. Maiden Reinsurance paid a ceding commission of 5% on contracts assumed under the European Hospital Liability Quota Share.</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Effective July 1, 2016, the European Hospital Liability Quota Share was amended such that Maiden Reinsurance assumes from AEL 32.5% of the premiums and losses of all policies written or renewed on or after July 1, 2016 until June 30, 2017 and 20% of all policies written or renewed on or after July 1, 2017. Thereafter, on January 30, 2019, Maiden Reinsurance, AEL and AIU DAC agreed to terminate the European Hospital Liability Quota Share on a run-off basis effective as of January 1, 2019.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10. Related Party Transactions (continued)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Effective July 1, 2022, Maiden Reinsurance and AIU DAC entered into an agreement ("Commutation Agreement") which provided for AIU DAC to assume all reserves ceded by AIU DAC to Maiden Reinsurance with respect to AIU DAC’s French Medical Malpractice exposures for underwriting years 2012 through 2018 reinsured by Maiden Reinsurance under the European Hospital Liability Quota Share. In accordance with the Commutation Agreement, Maiden Reinsurance paid $31,291 (€29,401) to AIU DAC, which is the sum of net ceded reserves of $27,625 (€25,956) and an agreed exit cost of $3,666 (€3,444). As a result of the Commutation Agreement, Maiden Reinsurance reduced its exposure to AmTrust's Hospital Liability business, but still has exposure to Italian medical malpractice liabilities under the European Hospital Liability Quota Share.</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table below shows the effect of both of these quota share arrangements with AmTrust on the Company's Condensed Consolidated Income Statements for the three and nine months ended September 30, 2025, respectively:</w:t>
      </w:r>
    </w:p>
    <w:tbl>
      <w:tblPr>
        <w:tblW w:w="10205" w:type="dxa"/>
        <w:jc w:val="left"/>
        <w:tblInd w:w="0" w:type="dxa"/>
        <w:tblLayout w:type="fixed"/>
        <w:tblCellMar>
          <w:top w:w="28" w:type="dxa"/>
          <w:left w:w="28" w:type="dxa"/>
          <w:bottom w:w="28" w:type="dxa"/>
          <w:right w:w="28" w:type="dxa"/>
        </w:tblCellMar>
      </w:tblPr>
      <w:tblGrid>
        <w:gridCol w:w="1179"/>
        <w:gridCol w:w="993"/>
        <w:gridCol w:w="1000"/>
        <w:gridCol w:w="109"/>
        <w:gridCol w:w="109"/>
        <w:gridCol w:w="109"/>
        <w:gridCol w:w="537"/>
        <w:gridCol w:w="1186"/>
        <w:gridCol w:w="277"/>
        <w:gridCol w:w="277"/>
        <w:gridCol w:w="277"/>
        <w:gridCol w:w="277"/>
        <w:gridCol w:w="109"/>
        <w:gridCol w:w="2713"/>
        <w:gridCol w:w="249"/>
        <w:gridCol w:w="428"/>
        <w:gridCol w:w="109"/>
        <w:gridCol w:w="109"/>
        <w:gridCol w:w="158"/>
      </w:tblGrid>
      <w:tr>
        <w:trPr/>
        <w:tc>
          <w:tcPr>
            <w:tcW w:w="117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713"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1053" w:type="dxa"/>
            <w:gridSpan w:val="5"/>
            <w:tcBorders/>
          </w:tcPr>
          <w:p>
            <w:pPr>
              <w:pStyle w:val="TableContents"/>
              <w:bidi w:val="0"/>
              <w:spacing w:before="0" w:after="283"/>
              <w:jc w:val="left"/>
              <w:rPr>
                <w:sz w:val="4"/>
                <w:szCs w:val="4"/>
              </w:rPr>
            </w:pPr>
            <w:r>
              <w:rPr>
                <w:sz w:val="4"/>
                <w:szCs w:val="4"/>
              </w:rPr>
            </w:r>
          </w:p>
        </w:tc>
      </w:tr>
      <w:tr>
        <w:trPr/>
        <w:tc>
          <w:tcPr>
            <w:tcW w:w="31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72"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and net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7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7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w:t>
            </w:r>
          </w:p>
        </w:tc>
        <w:tc>
          <w:tcPr>
            <w:tcW w:w="27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Collateral provided to AmTrust</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LPT/ADC Agreement, Maiden Reinsurance, Cavello and AmTrust and certain of its affiliated companies entered into a Master Collateral Agreement (“MCA”) to define and enable the operation of collateral provided under the AmTrust Quota Share. Under the MCA, Cavello provided letters of credit on behalf of Maiden Reinsurance to AmTrust in an amount representing Cavello’s obligations under the LPT/ADC Agreement. Because these letters of credit replaced other collateral previously provided directly by Maiden Reinsurance to AmTrust, the MCA coordinates the collateral protection that will be provided to AmTrust to ensure that no gaps in collateral funding occur by operation of the LPT/ADC Agreement and related MCA.</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a result of entering into both the LPT/ADC Agreement and the MCA, certain post-termination endorsements (“PTEs”) to the AmTrust Quota Share between AII and Maiden Reinsurance were required. Effective July 31, 2019, the PTEs: i) enable the operation of both the LPT/ADC Agreement and MCA by making provision for certain forms of collateral, including letters of credit provided by Cavello on Maiden Reinsurance’s behalf, and further defines the permitted use and return of collateral; and ii) increase the required funding percentage for Maiden Reinsurance under the collateral arrangements between the parties to 105% of its obligations, subject to a minimum excess funding requirement of $54,000, as may be mutually amended by the parties from time to time. Under certain defined conditions, Maiden Reinsurance may be required to increase this funding percentage to 110%.</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Effective March 16, 2020, Maiden Reinsurance discontinued as a Bermuda company and completed its re-domestication to the State of Vermont. Bermuda is a Solvency II equivalent jurisdiction and the State of Vermont is not such a jurisdiction; therefore, the collateral provided under the respective agreements with AmTrust subsidiaries was strengthened to reflect the impact of the re-domestication concurrent with the date of Maiden Reinsurance’s re-domestication to Vermont. Maiden Reinsurance and AmTrust agreed to: 1) amend the AmTrust Quota Share pursuant to Post Termination Endorsement No. 2 effective March 16, 2020; and 2) amend the European Hospital Liability Quota Share pursuant to Post Termination Endorsement No. 1 effective March 16, 2020.</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terms of Post Termination Endorsement No. 2 to the AmTrust Quota Share, Maiden Reinsurance strengthened the collateral protection provided by Maiden Reinsurance to AII by increasing the required funding percentage for Maiden Reinsurance under the collateral arrangements between the parties to 110% of its obligations, subject to a minimum excess funding requirement of $54,000, as may be mutually amended by the parties from time to time. Post Termination Endorsement No. 2 also sets forth conditions by which the funding percentage will be reduced and the sequence of how collateral will be utilized as obligations, as defined under the AmTrust Quota Share, are satisfied. Pursuant to the terms of Post Termination Endorsement No. 2, the funding percentage was reduced to 107.5% during the first quarter of 2023.</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terms of Post Termination Endorsement No. 3 to the AmTrust Quota Share, AmTrust has agreed to eliminate the minimum excess funding requirement of $54,000 in the AmTrust Quota Share between All and Maiden. Collateral on the AmTrust Quota Share will now solely be tied to a contractually agreed percentage and is expected to be reduced from a current level of 107.5% to 105% during the third quarter of 2025 when its obligations are expected to decline below the $500,000 threshold. The terms of Post Termination Endorsement No. 3 was effective upon the execution and delivery of the AR Loan Agreement and the Premium Repayment Loan Agreement approved by the Vermont DFR on February 7, 2025.</w:t>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10. Related Party Transactions (continued)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terms of Post Termination Endorsement No. 1 to the European Hospital Liability Quota Share, Maiden Reinsurance strengthened the collateral protection provided by Maiden Reinsurance to AEL and AIU DAC by increasing the required funding percentage for Maiden Reinsurance under the collateral arrangements between the parties to the greater of 120% of the Exposure (as defined therein) and the amount of security required to offset the increase in the Solvency Capital Requirement (“SCR”) that results from the hanges in the SCR which arise out of Maiden Reinsurance's re-domestication as compared to the SCR calculation if Maiden Reinsurance had remained domesticated in a Solvency II equivalent jurisdiction with a solvency ratio above 100% and provided collateral equivalent to 100% of the Exposure.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terms of Post Termination Endorsement No. 2 to the European Hospital Liability Quota Share, AmTrust has also agreed to reduce the collateral funding percentage on the European Hospital Liability Quota Share from 120% to 105%, on the effective date of this endorsement, which was approved by the Vermont DFR on February 19, 2025.</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December 31, 2024, Maiden Reinsurance and AmTrust entered into a Loan Agreement (the “Premium Repayment Loan Agreement”) by which Maiden Reinsurance will repay AII the principal amount of $24,259 representing settlement of a dispute over cessions of uncollectible ceded premiums written made by AII to Maiden Reinsurance, payable by Maiden Reinsurance in quarterly installments through the maturity date of December 31, 2032. This settlement is netted against the loan receivable from related party on the Consolidated Balance Sheets at September 30, 2025. AmTrust may offset any amount payable against any amount due and unpaid by Maiden Reinsurance, under any agreement between AmTrust or its affiliate and Maiden Reinsurance or its affiliate, including without limitation, the European Hospital Liability Quota Share, dated April 1, 2011, as amended. Interest is payable at a rate equivalent to the Fed Funds rate plus 150 basis points per annum under the terms of the Premium Repayment Loan Agreement.</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a) AmTrust Quota Share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To provide AmTrust's U.S. insurance subsidiaries with credit for reinsurance on their statutory financial statements, AII, as the direct reinsurer of AmTrust's insurance subsidiaries, established trust accounts ("Trust Accounts") for their benefit. Maiden Reinsurance has provided appropriate collateral to secure its proportional share under the AmTrust Quota Share of AII's obligations to the AmTrust subsidiaries to whom AII is required to provide collateral which can include: (a) assets loaned by Maiden Reinsurance to AII for deposit into the Trust Accounts, pursuant to a loan agreement between those parties; (b) assets transferred by Maiden Reinsurance for deposit into the Trust Accounts; or (c) a letter of credit obtained by Maiden Reinsurance and delivered to an AmTrust subsidiary on AII's behalf. Maiden Reinsurance may provide any or a combination of these forms of collateral, provided that the aggregate value thereof equals Maiden Reinsurance's proportionate share of its obligations under the AmTrust Quota Share. The collateral requirements under the AmTrust Quota Share with AII are satisfied as follows:</w:t>
      </w:r>
    </w:p>
    <w:p>
      <w:pPr>
        <w:pStyle w:val="TextBody"/>
        <w:bidi w:val="0"/>
        <w:spacing w:lineRule="auto" w:line="240" w:before="0" w:after="120"/>
        <w:ind w:left="0" w:right="0" w:hanging="270"/>
        <w:jc w:val="both"/>
        <w:rPr/>
      </w:pPr>
      <w:r>
        <w:rPr>
          <w:color w:val="000000"/>
        </w:rPr>
        <w:t>•</w:t>
      </w:r>
      <w:r>
        <w:rPr>
          <w:rFonts w:ascii="Times New Roman;serif" w:hAnsi="Times New Roman;serif"/>
          <w:b w:val="false"/>
          <w:color w:val="000000"/>
          <w:sz w:val="20"/>
        </w:rPr>
        <w:t>On January 1, 2025, Maiden Reinsurance and AmTrust amended the terms of the loan agreement provided by Maiden Reinsurance to AII. Under the revised terms, an Amended and Restated Loan Agreement was entered into effective January 1, 2025 (the “AR Loan Agreement”), by which the principal amount of the collateral loan will be repaid (subject to funding of collateral requirements) on or before the revised maturity date of January 1, 2033 pursuant to a repayment schedule set forth in the AR Loan Agreement. The principal amount shall equal (a) $152,377 minus (b) the amount of payments and any prepayments made by or on behalf of AmTrust from time to time. Interest is payable at a rate equivalent to the Federal Funds Effective Rate ("Fed Funds") plus 150 basis points per annum under the terms of the AR Loan Agreement.</w:t>
      </w:r>
    </w:p>
    <w:p>
      <w:pPr>
        <w:pStyle w:val="TextBody"/>
        <w:bidi w:val="0"/>
        <w:spacing w:lineRule="auto" w:line="240" w:before="0" w:after="120"/>
        <w:ind w:left="0" w:right="0" w:hanging="270"/>
        <w:jc w:val="both"/>
        <w:rPr/>
      </w:pPr>
      <w:r>
        <w:rPr>
          <w:color w:val="000000"/>
        </w:rPr>
        <w:t>•</w:t>
      </w:r>
      <w:r>
        <w:rPr>
          <w:rFonts w:ascii="Times New Roman;serif" w:hAnsi="Times New Roman;serif"/>
          <w:b w:val="false"/>
          <w:color w:val="000000"/>
          <w:sz w:val="20"/>
        </w:rPr>
        <w:t>AmTrust may offset any amount payable against any amount due and unpaid by Maiden Reinsurance, under any agreement between AmTrust or its affiliate and Maiden Reinsurance or its affiliate, including without limitation, the AmTrust Quota Share and European Hospital Liability Quota Share dated April 1, 2011, as amended, between Maiden Reinsurance and AmTrust, any other reinsurance agreements between AmTrust or its affiliates and Maiden Reinsurance or its affiliates and the Premium Repayment Loan Agreement dated December 31, 2024 with respect to the settlement of certain ceded premium balances of $24,259 entered into between AII and Maiden Reinsurance.</w:t>
      </w:r>
    </w:p>
    <w:p>
      <w:pPr>
        <w:pStyle w:val="TextBody"/>
        <w:bidi w:val="0"/>
        <w:spacing w:lineRule="auto" w:line="240" w:before="0" w:after="120"/>
        <w:ind w:left="0" w:right="0" w:hanging="270"/>
        <w:jc w:val="both"/>
        <w:rPr/>
      </w:pPr>
      <w:r>
        <w:rPr>
          <w:color w:val="000000"/>
        </w:rPr>
        <w:t>•</w:t>
      </w:r>
      <w:r>
        <w:rPr>
          <w:rFonts w:ascii="Times New Roman;serif" w:hAnsi="Times New Roman;serif"/>
          <w:b w:val="false"/>
          <w:color w:val="000000"/>
          <w:sz w:val="20"/>
        </w:rPr>
        <w:t xml:space="preserve">The outstanding balances under the AR Loan Agreement and Premium Repayment Loan Agreement are presented on a net basis. The outstanding net loan receivable was $101,689 at September 30, 2025. There was no allowance for expected credit losses recognized on the loan at September 30, 2025. Net interest income on the net loan receivable was $1,604 and $2,263 for the three and nine months ended September 30, 2025, respectively, with an effective yield of 6.1% and 6.2%, respectively. </w: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b) European Hospital Liability Quota Share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Collateral has been provided to both AEL and AIU DAC under the European Hospital Liability Quota Share. For AEL, the amount of the collateral held in reinsurance trust accounts at September 30, 2025 was $137,806 and the accrued interest was $663.</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Asset Management Agreement</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Effective July 1, 2007, Maiden entered into an asset management agreement with AII Insurance Management Limited ("AIIM"), a wholly owned subsidiary of AmTrust, pursuant to which AIIM agreed to provide investment management services to the Company. Effective January 1, 2018, AIIM provides investment management services for a quarterly fee of 0.02125% of the average value of the account. The agreement may be terminated upon 30 days written notice by either party. The Company recorded $46 and $48 of investment management fees for the three and nine months ended September 30, 2025, respectively, under this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10. Related Party Transactions (continued)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September 9, 2020, Maiden Reinsurance, AmTrust and AIIM entered into a novation agreement, effective July 1, 2020, which provided for the novation of the asset management agreement, dated January 1, 2018 between Maiden Reinsurance and AIIM, and the release by Maiden Reinsurance of AIIM's obligations under the asset management agreement. The novation mandates that AmTrust is to be bound by the terms of the asset management agreement in place of AIIM and AmTrust agrees to perform any and all past, present and future obligations of AIIM under the asset management agreement.</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November 13, 2020, Maiden LF, Maiden GF, AmTrust and AIIM entered into a novation agreement, effective July 1, 2020, which provided for the novation of the asset management agreement, dated January 1, 2018 between Maiden LF, Maiden GF and AIIM, and the release by Maiden LF and Maiden GF of AIIM's obligations under the asset management agreement. The novation mandates that AmTrust is to be bound by the terms of the asset management agreement in place of AIIM and AmTrust agrees to perform any and all past, present and future obligations of AIIM under the asset management agreement.</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Renewal Rights Transaction - IIS Business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On May 3, 2024, Maiden LF and Maiden GF entered into a Renewal Rights and Asset Purchase Agreement with AmTrust Nordic AB, a Swedish unit of AmTrust, which is expected to cover certain programs of Maiden LF and Maiden GF's primary business written in Sweden, Norway and other Nordic countries.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On June 20, 2024, Maiden LF and Maiden GF entered into a Renewal Rights and Asset Purchase Agreement with AmTrust Europe Limited ("AEL") and AmTrust International Underwriters DAC ("AIU DAC"), both wholly owned subsidiaries of AmTrust, which is expected to cover certain programs of Maiden LF and Maiden GF's primary business written in the United Kingdom and Ireland. </w:t>
      </w:r>
    </w:p>
    <w:p>
      <w:pPr>
        <w:pStyle w:val="TextBody"/>
        <w:bidi w:val="0"/>
        <w:spacing w:lineRule="auto" w:line="244"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Under these agreements, those AmTrust subsidiaries in collaboration with existing Maiden LF and Maiden GF distribution partners, will offer renewals to select policyholders in exchange for a fee at standard market terms for business successfully renewed. All programs written by Maiden LF and GF, including those covered by the agreements as described above, are in the process of being cancelled in accordance with either their contractual terms or as applicable, the requirements of these agreements. As at September 30, 2025, Maiden LF and Maiden GF had substantially completed all the main contractual obligations as per the AmTrust Renewal Rights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240" w:after="120"/>
        <w:jc w:val="left"/>
        <w:rPr>
          <w:rFonts w:ascii="Times New Roman;serif" w:hAnsi="Times New Roman;serif"/>
          <w:b/>
          <w:color w:val="000000"/>
          <w:sz w:val="20"/>
        </w:rPr>
      </w:pPr>
      <w:r>
        <w:rPr>
          <w:rFonts w:ascii="Times New Roman;serif" w:hAnsi="Times New Roman;serif"/>
          <w:b/>
          <w:color w:val="000000"/>
          <w:sz w:val="20"/>
        </w:rPr>
        <w:t>11. Commitments, Contingencies and Guarantees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describes the Company's current commitments, contingencies and concentrations as of September 30, 2025:</w:t>
      </w:r>
    </w:p>
    <w:p>
      <w:pPr>
        <w:pStyle w:val="TextBody"/>
        <w:bidi w:val="0"/>
        <w:spacing w:lineRule="auto" w:line="240" w:before="0" w:after="120"/>
        <w:ind w:left="0" w:right="0" w:hanging="270"/>
        <w:jc w:val="both"/>
        <w:rPr>
          <w:rFonts w:ascii="Times New Roman;serif" w:hAnsi="Times New Roman;serif"/>
          <w:b/>
          <w:i/>
          <w:color w:val="000000"/>
          <w:sz w:val="20"/>
        </w:rPr>
      </w:pPr>
      <w:r>
        <w:rPr>
          <w:rFonts w:ascii="Times New Roman;serif" w:hAnsi="Times New Roman;serif"/>
          <w:b/>
          <w:i/>
          <w:color w:val="000000"/>
          <w:sz w:val="20"/>
        </w:rPr>
        <w:t>a)Concentrations of Credit Risk</w:t>
      </w:r>
    </w:p>
    <w:p>
      <w:pPr>
        <w:pStyle w:val="TextBody"/>
        <w:bidi w:val="0"/>
        <w:spacing w:lineRule="auto" w:line="240" w:before="0" w:after="120"/>
        <w:ind w:left="0" w:right="0" w:firstLine="270"/>
        <w:jc w:val="both"/>
        <w:rPr/>
      </w:pPr>
      <w:r>
        <w:rPr>
          <w:rFonts w:ascii="Times New Roman;serif" w:hAnsi="Times New Roman;serif"/>
          <w:b w:val="false"/>
          <w:color w:val="000000"/>
          <w:sz w:val="20"/>
        </w:rPr>
        <w:t>At September 30, 2025, the Company’s assets where significant concentrations of credit risk may exist include total investments, cash and cash equivalents, net loan receivable from related party, reinsurance balances receivable, reinsurance recoverable on paid and unpaid losses and funds withheld receivable. Please refer to "</w:t>
      </w:r>
      <w:r>
        <w:rPr>
          <w:rFonts w:ascii="Times New Roman;serif" w:hAnsi="Times New Roman;serif"/>
          <w:b w:val="false"/>
          <w:i/>
          <w:color w:val="000000"/>
          <w:sz w:val="20"/>
        </w:rPr>
        <w:t>Note 8. Reinsurance</w:t>
      </w:r>
      <w:r>
        <w:rPr>
          <w:rFonts w:ascii="Times New Roman;serif" w:hAnsi="Times New Roman;serif"/>
          <w:b w:val="false"/>
          <w:color w:val="000000"/>
          <w:sz w:val="20"/>
        </w:rPr>
        <w:t xml:space="preserve">" for additional information regarding the Company's credit risk exposure on its reinsurance counterparties including the impact of the LPT/ADC Agreement effective January 1, 2019. The Company requires its reinsurers to have adequate financial strength. </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As discussed in </w:t>
      </w:r>
      <w:r>
        <w:rPr>
          <w:rFonts w:ascii="Times New Roman;serif" w:hAnsi="Times New Roman;serif"/>
          <w:b w:val="false"/>
          <w:i/>
          <w:color w:val="000000"/>
          <w:sz w:val="20"/>
        </w:rPr>
        <w:t>Note 3. Segment Information</w:t>
      </w:r>
      <w:r>
        <w:rPr>
          <w:rFonts w:ascii="Times New Roman;serif" w:hAnsi="Times New Roman;serif"/>
          <w:b w:val="false"/>
          <w:color w:val="000000"/>
          <w:sz w:val="20"/>
        </w:rPr>
        <w:t>, the Company's Program Services segment consists of a cohesive suite of fronting services that are integrated and interdependent. For the three and nine months ended September 30, 2025 and 2024, this revenue stream is highly concentrated due to capacity distribution agreements with an individual customer.</w:t>
      </w:r>
    </w:p>
    <w:p>
      <w:pPr>
        <w:pStyle w:val="TextBody"/>
        <w:bidi w:val="0"/>
        <w:spacing w:lineRule="auto" w:line="240" w:before="0" w:after="120"/>
        <w:ind w:left="0" w:right="0" w:firstLine="270"/>
        <w:jc w:val="both"/>
        <w:rPr/>
      </w:pPr>
      <w:r>
        <w:rPr>
          <w:rFonts w:ascii="Times New Roman;serif" w:hAnsi="Times New Roman;serif"/>
          <w:b w:val="false"/>
          <w:color w:val="000000"/>
          <w:sz w:val="20"/>
        </w:rPr>
        <w:t>The Company evaluates the financial condition of its reinsurers, program managers and MGAs and monitors its concentration of credit risk on an ongoing basis. Provisions are made for amounts that are considered potentially uncollectible. Reinsurance receivable and recoverable balances, net loan receivable from related party, and the funds withheld receivable are reviewed for expected credit losses on a quarterly basis and are presented net of an allowance for expected credit losses. Letters of credit are provided by its reinsurers for material amounts recoverable as discussed in "</w:t>
      </w:r>
      <w:r>
        <w:rPr>
          <w:rFonts w:ascii="Times New Roman;serif" w:hAnsi="Times New Roman;serif"/>
          <w:b w:val="false"/>
          <w:i/>
          <w:color w:val="000000"/>
          <w:sz w:val="20"/>
        </w:rPr>
        <w:t>Note 8. Reinsurance</w:t>
      </w:r>
      <w:r>
        <w:rPr>
          <w:rFonts w:ascii="Times New Roman;serif" w:hAnsi="Times New Roman;serif"/>
          <w:b w:val="false"/>
          <w:color w:val="000000"/>
          <w:sz w:val="20"/>
        </w:rPr>
        <w:t>".</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manages the concentration of credit risk in its investment portfolio through issuer and sector exposure limitations. The Company believes it bears minimal credit risk in its cash on deposit. The Company also monitors the credit risk related to the net loan receivable from related party, reinsurance balances receivable and funds withheld receivable, within which the largest balances are due from AmTrust. AmTrust has a financial strength/credit rating of A- (Excellent) from A.M. Best at September 30, 2025.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To mitigate credit risk, the Company generally has a contractual right of offset thereby allowing claims to be settled net of any premiums or loan receivable. The Company believes these balances as at September 30, 2025 will be fully collectible.</w:t>
      </w:r>
    </w:p>
    <w:p>
      <w:pPr>
        <w:pStyle w:val="TextBody"/>
        <w:bidi w:val="0"/>
        <w:spacing w:lineRule="auto" w:line="240" w:before="0" w:after="120"/>
        <w:ind w:left="0" w:right="0" w:hanging="270"/>
        <w:jc w:val="both"/>
        <w:rPr>
          <w:rFonts w:ascii="Times New Roman;serif" w:hAnsi="Times New Roman;serif"/>
          <w:b/>
          <w:i/>
          <w:color w:val="000000"/>
          <w:sz w:val="20"/>
        </w:rPr>
      </w:pPr>
      <w:r>
        <w:rPr>
          <w:rFonts w:ascii="Times New Roman;serif" w:hAnsi="Times New Roman;serif"/>
          <w:b/>
          <w:i/>
          <w:color w:val="000000"/>
          <w:sz w:val="20"/>
        </w:rPr>
        <w:t>b)Investment Commitments and Related Financial Guarantees</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total unfunded commitments on other investments and equity method investments was $33,448 at September 30, 2025. The table below shows the total unfunded commitments by type of investment as at September 30, 2025:</w:t>
      </w:r>
    </w:p>
    <w:tbl>
      <w:tblPr>
        <w:tblW w:w="8318" w:type="dxa"/>
        <w:jc w:val="left"/>
        <w:tblInd w:w="0" w:type="dxa"/>
        <w:tblLayout w:type="fixed"/>
        <w:tblCellMar>
          <w:top w:w="28" w:type="dxa"/>
          <w:left w:w="28" w:type="dxa"/>
          <w:bottom w:w="28" w:type="dxa"/>
          <w:right w:w="28" w:type="dxa"/>
        </w:tblCellMar>
      </w:tblPr>
      <w:tblGrid>
        <w:gridCol w:w="1818"/>
        <w:gridCol w:w="1599"/>
        <w:gridCol w:w="1608"/>
        <w:gridCol w:w="109"/>
        <w:gridCol w:w="109"/>
        <w:gridCol w:w="109"/>
        <w:gridCol w:w="211"/>
        <w:gridCol w:w="721"/>
        <w:gridCol w:w="109"/>
        <w:gridCol w:w="109"/>
        <w:gridCol w:w="109"/>
        <w:gridCol w:w="109"/>
        <w:gridCol w:w="307"/>
        <w:gridCol w:w="309"/>
        <w:gridCol w:w="501"/>
        <w:gridCol w:w="109"/>
        <w:gridCol w:w="109"/>
        <w:gridCol w:w="109"/>
        <w:gridCol w:w="154"/>
      </w:tblGrid>
      <w:tr>
        <w:trPr/>
        <w:tc>
          <w:tcPr>
            <w:tcW w:w="1818"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02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unfunded commitments on other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19,301 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50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02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unfunded commitments on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50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02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unfunded commitments on alternative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33,448 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0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Certain of the Company's investments in limited partnerships are related to real estate joint ventures with interests in multi-property projects with varying strategies ranging from the development of properties to the ownership of income-producing properties. In certain of these joint ventures, the Company has provided certain indemnities, guarantees and commitments to certain parties such that it may be required to make payments now or in the future.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Any loss for which the Company could be liable would be contingent on the default of a loan by the real estate joint venture entity for which the Company provided a financial guarantee to a lender. While the Company has committed to aggregate limits as to the amount of guarantees it will provide as part of its limited partnerships, guarantees are only provided on an individual transaction basis and are subject to the terms and conditions of each transaction mutually agreed by the parties involved. The Company is not bound to such guarantees without its express authorization.</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discussed above, at September 30, 2025, guarantees of $69,990 were provided to lenders by the Company on behalf of real estate joint ventures, however, the likelihood of the Company incurring any losses pertaining to project level financing guarantees was determined to be remote. Therefore, no liability has been accrued under ASC 450-20.</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Other Contingent Commitments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a result of the Combination Agreement, Kestrel Equityholders are entitled to receive in contingent consideration up to the lesser of (x) an aggregate number of Kestrel Group common shares equal to $45.0 million divided by certain volume weighted average prices of such shares, subject to the achievement of certain EBITDA milestones by the businesses that Kestrel conducted immediately prior to closing and any extensions of such businesses or related or ancillary businesses existing thereafter, subject to other terms and conditions as set forth in the combination agreement and (y) 2.75 million common shares of Kestrel Group. On September 30, 2025, the fair value of this contingent consideration was $0 . The fair value of the earn out liability decreased by $2,679 and $0 for the three and nine months ended September 30, 2025, respectively, which was recorded in the condensed consolidated statements of net income during the reporting period.</w:t>
      </w:r>
    </w:p>
    <w:p>
      <w:pPr>
        <w:pStyle w:val="TextBody"/>
        <w:bidi w:val="0"/>
        <w:spacing w:before="6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60" w:after="120"/>
        <w:jc w:val="both"/>
        <w:rPr>
          <w:rFonts w:ascii="Times New Roman;serif" w:hAnsi="Times New Roman;serif"/>
          <w:b/>
          <w:color w:val="000000"/>
          <w:sz w:val="20"/>
        </w:rPr>
      </w:pPr>
      <w:r>
        <w:rPr>
          <w:rFonts w:ascii="Times New Roman;serif" w:hAnsi="Times New Roman;serif"/>
          <w:b/>
          <w:color w:val="000000"/>
          <w:sz w:val="20"/>
        </w:rPr>
        <w:t>11. Commitments, Contingencies and Guarantees (continued)</w:t>
      </w:r>
    </w:p>
    <w:p>
      <w:pPr>
        <w:pStyle w:val="TextBody"/>
        <w:bidi w:val="0"/>
        <w:spacing w:lineRule="auto" w:line="244" w:before="60" w:after="120"/>
        <w:ind w:left="0" w:right="0" w:firstLine="270"/>
        <w:jc w:val="both"/>
        <w:rPr/>
      </w:pPr>
      <w:r>
        <w:rPr>
          <w:rFonts w:ascii="Times New Roman;serif" w:hAnsi="Times New Roman;serif"/>
          <w:b w:val="false"/>
          <w:color w:val="000000"/>
          <w:sz w:val="20"/>
        </w:rPr>
        <w:t xml:space="preserve">At September 30, 2025, the Company holds a contingent receivable in the insurance distribution industry. Pursuant to the terms of the investment agreement, the Company will receive a series of distributions. The Company currently estimates that the net present value of these potential distributions is $14,347 which has been classified as receivable and reported in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on the condensed consolidated balance sheets at September 30, 2025. Under ASC 805, the earn out consideration for this receivable is adjusted to fair value at each reporting period with any changes in fair value reported immediately in net income.</w:t>
      </w:r>
    </w:p>
    <w:p>
      <w:pPr>
        <w:pStyle w:val="TextBody"/>
        <w:bidi w:val="0"/>
        <w:spacing w:lineRule="auto" w:line="240" w:before="0" w:after="120"/>
        <w:ind w:left="0" w:right="0" w:hanging="270"/>
        <w:jc w:val="both"/>
        <w:rPr>
          <w:rFonts w:ascii="Times New Roman;serif" w:hAnsi="Times New Roman;serif"/>
          <w:b/>
          <w:i/>
          <w:color w:val="000000"/>
          <w:sz w:val="20"/>
        </w:rPr>
      </w:pPr>
      <w:r>
        <w:rPr>
          <w:rFonts w:ascii="Times New Roman;serif" w:hAnsi="Times New Roman;serif"/>
          <w:b/>
          <w:i/>
          <w:color w:val="000000"/>
          <w:sz w:val="20"/>
        </w:rPr>
        <w:t>c)Operating Lease Commitments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leases office spaces and equipment under various operating leases expiring in various years through 2034. The Company's leases are currently classified as operating leases and none of them have non-lease components. For operating leases that have a lease term of more than twelve months, and whose operating lease payments are above a certain threshold, the Company recognizes a lease liability and a right-of-use asset in the Condensed Consolidated Balance Sheets at the present value of the remaining lease payments until expiration.</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Kestrel’s principal executive offices are presently located at 8333 Douglas Avenue, Suite 1360 in Dallas, Texas. The Dallas office is leased through Ledbetter Interests, Ltd., an entity affiliated with Terry Ledbetter, who is the Company's Executive Chairman, pursuant to a Lease Agreement dated October 23, 2019. Kestrel Service Corporation, Kestrel’s wholly owned subsidiary, reimburses Terry Ledbetter via an expense reimbursement provision under his employment agreement for the use of this leased office space. This Lease Agreement expires January 31, 2026 and will not be renewed. This lease does not meet the minimum threshold for lease liability recognition and therefore its rent payments are expensed as incurred.</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Kestrel also leases office space for the corporate office in Austin, Texas, through Kestrel Service Corporation, that expires in 2027. The Austin office will be the principal executive office effective February 1, 2026. Lease payments have an escalating fee schedule, which range from a 3% to 4% increase each year. Termination of the lease is generally prohibited unless there is a violation under the lease agreement.</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Maiden also leases office space in a building in New York City that commenced in April 2024, which created a significant right-of-use asset and lease liability upon completion of leasehold improvements for the ten-year operating lease. This lease comprises most of the lease liabilty and right-of-use asset recognized on the condensed consolidated balance sheet at September 30, 2025.</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the lease contracts generally do not provide an implicit discount rate, the Company used the weighted-average discount rate of 7.2%, representing its secured incremental borrowing rate, in calculating the present value of the lease liability. At September 30, 2025, the Company's future lease obligations of $2,108 (December 31, 2024 - $244) were calculated based on the present value of future annual rental commitments excluding taxes, insurance and other operating costs for non-cancellable operating leases discounted using its secured incremental borrowing rate. This amount has been recognized on the Condensed Consolidated Balance Sheet as a lease liability within accrued expenses and other liabilities with the right-of-use asset presented as part of other assets. At September 30, 2025, the Company's right-of-use lease asset was $2,085 (December 31, 2024 - $223).</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made an accounting policy election not to include renewal, termination, or purchase options that are not reasonably certain of exercise when determining the term of the borrowing. The Company’s lease agreements do not contain any material residual value guarantees or material restrictive covenants. The Company's weighted-average remaining lease term is approximately 8.4 years at September 30, 2025. </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Under </w:t>
      </w:r>
      <w:r>
        <w:rPr>
          <w:rFonts w:ascii="Times New Roman;serif" w:hAnsi="Times New Roman;serif"/>
          <w:b w:val="false"/>
          <w:i/>
          <w:color w:val="000000"/>
          <w:sz w:val="20"/>
        </w:rPr>
        <w:t>Topic 842, Leases</w:t>
      </w:r>
      <w:r>
        <w:rPr>
          <w:rFonts w:ascii="Times New Roman;serif" w:hAnsi="Times New Roman;serif"/>
          <w:b w:val="false"/>
          <w:color w:val="000000"/>
          <w:sz w:val="20"/>
        </w:rPr>
        <w:t xml:space="preserve">, the Company continues to recognize the related leasing expense on a straight-line basis over the lease term on the Condensed Consolidated Statements of Income. The Company's total office lease expense was $156 and $298 for three and nine months ended September 30, 2025 (2024: $48 and $142) recognized within general and administrative expenses consistent with the prior accounting treatment under </w:t>
      </w:r>
      <w:r>
        <w:rPr>
          <w:rFonts w:ascii="Times New Roman;serif" w:hAnsi="Times New Roman;serif"/>
          <w:b w:val="false"/>
          <w:i/>
          <w:color w:val="000000"/>
          <w:sz w:val="20"/>
        </w:rPr>
        <w:t xml:space="preserve">Topic 840.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September 30, 2025, the scheduled maturity of the Company's operating lease liabilities are expected to be as follows:</w:t>
      </w:r>
    </w:p>
    <w:tbl>
      <w:tblPr>
        <w:tblW w:w="5621" w:type="dxa"/>
        <w:jc w:val="left"/>
        <w:tblInd w:w="0" w:type="dxa"/>
        <w:tblLayout w:type="fixed"/>
        <w:tblCellMar>
          <w:top w:w="28" w:type="dxa"/>
          <w:left w:w="28" w:type="dxa"/>
          <w:bottom w:w="28" w:type="dxa"/>
          <w:right w:w="28" w:type="dxa"/>
        </w:tblCellMar>
      </w:tblPr>
      <w:tblGrid>
        <w:gridCol w:w="1339"/>
        <w:gridCol w:w="1174"/>
        <w:gridCol w:w="1191"/>
        <w:gridCol w:w="109"/>
        <w:gridCol w:w="109"/>
        <w:gridCol w:w="109"/>
        <w:gridCol w:w="342"/>
        <w:gridCol w:w="999"/>
        <w:gridCol w:w="249"/>
      </w:tblGrid>
      <w:tr>
        <w:trPr/>
        <w:tc>
          <w:tcPr>
            <w:tcW w:w="133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70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4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24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4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for present value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24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discounted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11. Commitments, Contingencies and Guarantees (continued)</w:t>
      </w:r>
    </w:p>
    <w:p>
      <w:pPr>
        <w:pStyle w:val="TextBody"/>
        <w:bidi w:val="0"/>
        <w:spacing w:lineRule="auto" w:line="240" w:before="120" w:after="120"/>
        <w:ind w:left="0" w:right="0" w:hanging="270"/>
        <w:jc w:val="left"/>
        <w:rPr>
          <w:rFonts w:ascii="Times New Roman;serif" w:hAnsi="Times New Roman;serif"/>
          <w:b/>
          <w:i/>
          <w:color w:val="000000"/>
          <w:sz w:val="20"/>
        </w:rPr>
      </w:pPr>
      <w:r>
        <w:rPr>
          <w:rFonts w:ascii="Times New Roman;serif" w:hAnsi="Times New Roman;serif"/>
          <w:b/>
          <w:i/>
          <w:color w:val="000000"/>
          <w:sz w:val="20"/>
        </w:rPr>
        <w:t>d)Legal Proceedings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Except as noted below, the Company is not a party to any material legal proceedings. From time to time, the Company is subject to routine legal proceedings, including arbitration, arising in the ordinary course of business. These legal proceedings generally relate to claims asserted by or against the Company in the ordinary course of insurance or reinsurance operations. Based on the Company's opinion, the eventual outcome of these legal proceedings is not expected to have a material adverse effect on its financial condition or results of operations.</w:t>
      </w:r>
    </w:p>
    <w:p>
      <w:pPr>
        <w:pStyle w:val="TextBody"/>
        <w:bidi w:val="0"/>
        <w:spacing w:lineRule="auto" w:line="240" w:before="0" w:after="120"/>
        <w:ind w:left="0" w:right="0" w:firstLine="27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putative class action complaint was filed against Maiden Holdings, Arturo M. Raschbaum, Karen L. Schmitt, and John M. Marshaleck in the United States District Court for the District of New Jersey on February 11, 2019. On February 19, 2020, the Court appointed lead plaintiffs, and on May 1, 2020, lead plaintiffs filed an amended class action complaint (the “Amended Complaint”). The Amended Complaint asserts violations of Section 10(b) of the Exchange Act and Rule 10b-5 (and Section 20(a) for control person liability) arising in large part from allegations that Maiden failed to take adequate loss reserves in connection with reinsurance provided to AmTrust. Plaintiffs further claim that certain of Maiden Holdings’ representations concerning its business, underwriting and financial statements were rendered false by the allegedly inadequate loss reserves, that these misrepresentations inflated the price of Maiden Holdings' common stock, and that when the truth about the misrepresentations was revealed, the Company’s stock price fell, causing Plaintiffs to incur losses. On September 11, 2020, a motion to dismiss was filed on behalf of all Defendants. On August 6, 2021, the Court issued an order denying, in part, Defendants’ motion to dismiss, ordering Plaintiffs to file a shorter amended complaint no later than August 20, 2021, and permitting discovery to proceed on a limited basis.</w:t>
      </w:r>
    </w:p>
    <w:p>
      <w:pPr>
        <w:pStyle w:val="TextBody"/>
        <w:bidi w:val="0"/>
        <w:spacing w:lineRule="auto" w:line="240" w:before="0" w:after="120"/>
        <w:ind w:left="0" w:right="0" w:firstLine="27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February 7, 2023, the District Court denied Plaintiffs’ motion for reconsideration of the District Court’s decision denying Plaintiffs’ objection to the Magistrate Judge’s December 2021 ruling on discovery. On May 26, 2023, the Company filed a Renewed Motion to Dismiss the Second Amended Complaint or, in the Alternative, for Summary Judgment. On December 19, 2023, the U.S. District Court for the District of New Jersey granted summary judgment on plaintiffs’ claim for securities fraud under Section 10(b) of the Securities Exchange Act to Maiden Holdings, Ltd. and individual defendants Arturo Raschbaum, Karen Schmitt, and John Marshaleck. The Court held that the factual record failed to support, as a matter of law, plaintiffs’ allegations that the defendants had made false statements regarding the Company’s loss reserves. The Court also dismissed plaintiffs’ claims that the individual defendants were liable as control persons under Section 20(a) of the Securities Exchange Act for any such alleged false statements. Plaintiffs appealed to the United States Court of Appeals for the Third Circuit.</w:t>
      </w:r>
    </w:p>
    <w:p>
      <w:pPr>
        <w:pStyle w:val="TextBody"/>
        <w:bidi w:val="0"/>
        <w:spacing w:lineRule="auto" w:line="240" w:before="0" w:after="120"/>
        <w:ind w:left="0" w:right="0" w:firstLine="270"/>
        <w:jc w:val="both"/>
        <w:rPr/>
      </w:pPr>
      <w:r>
        <w:rPr>
          <w:rFonts w:ascii="Times New Roman;serif" w:hAnsi="Times New Roman;serif"/>
          <w:b w:val="false"/>
          <w:color w:val="000000"/>
          <w:sz w:val="20"/>
          <w:shd w:fill="FFFFFF" w:val="clear"/>
        </w:rPr>
        <w:t>On August 20, 2025, the United States Court of Appeals for the Third Circuit vacated the U.S. District Court for the District of New Jersey’s order granting summary judgment to Maiden and individual defendants Arturo Raschbaum, Karen Schmitt, and John Marshalek</w:t>
      </w:r>
      <w:r>
        <w:rPr>
          <w:rFonts w:ascii="Times New Roman;serif" w:hAnsi="Times New Roman;serif"/>
          <w:b w:val="false"/>
          <w:i/>
          <w:color w:val="000000"/>
          <w:sz w:val="20"/>
        </w:rPr>
        <w:t>.</w:t>
      </w:r>
      <w:r>
        <w:rPr>
          <w:color w:val="000000"/>
          <w:shd w:fill="FFFFFF" w:val="clear"/>
        </w:rPr>
        <w:t xml:space="preserve"> </w:t>
      </w:r>
      <w:r>
        <w:rPr>
          <w:rFonts w:ascii="Times New Roman;serif" w:hAnsi="Times New Roman;serif"/>
          <w:b w:val="false"/>
          <w:color w:val="000000"/>
          <w:sz w:val="20"/>
          <w:shd w:fill="FFFFFF" w:val="clear"/>
        </w:rPr>
        <w:t>The Third Circuit disagreed with the District Court’s holding that the current case record required judgment for Maiden, as a matter of law, on the issue of whether Maiden’s loss reserves were misleading. The Court explained further that it was not issuing a ruling on the element of scienter. The Third Circuit therefore vacated the opinion of the District Court and remanded the case to the District Court with instructions to permit plaintiffs to pursue discovery with respect to their claims for securities fraud under Section 10(b) of the Securities Exchange Act. The Third Circuit denied defendants’ petition for rehearing on September 16, 2025, but defendants may still seek to appeal the decision. Maiden believes it has procedural and substantive defenses to the asserted claims, and it intends to oppose and defend against these claims.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26, 2024, WUSO Holding Corporation and 683 Capital Partners filed a lawsuit against Maiden Holdings North America, Ltd. and Maiden Holdings in the Supreme Court of the State of New York, County of New York, captioned WUSO Holding Corporation and 683 Capital Partners, LP v. Maiden Holdings North America, Ltd. and Maiden Holdings, Ltd., Index No. 659861/2024. The complaint alleges that Maiden’s sale of Maiden Reinsurance North America, Inc., which closed approximately six years ago from the date of the complaint, breached a sole provision of Maiden’s indenture governing its 2013 Senior Notes. Plaintiffs allege that principal and interest payable under the 2013 Senior Notes are due currently, rather than upon the stated maturity date of the 2013 Senior Notes. On June 17, 2025, the Supreme Court of the State of New York, County of New York, considered and granted Maiden’s motion to dismiss the complaint in its entirety. On August 6, 2025, plaintiffs filed a notice of appeal, triggering a six month deadline to perfect their appeal in the First Judicial Department of the New York Appellate Division. To the extent that plaintiffs do perfect and pursue their appeal of this decision, Maiden will oppose any such action.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addition to filing the notice of appeal, on August 12, 2025, plaintiffs filed a separate complaint against Maiden in the Supreme Court of the State of New York, County of New York. In the new complaint, plaintiffs allege that they have standing and authorization to bring suit, contending that they satisfied the no-action clause in the indenture because, on June 10, 2025, they requested, on behalf of holders of at least 25% of the outstanding 2013 Senior Notes, that the indenture trustee commence a related action, accompanied by an offer to indemnify, and the indenture trustee did not institute such proceedings within 60 days of the request. On October 6, 2025, a motion to dismiss was filed on behalf of Maiden. Plaintiffs’ opposition is due November 17, 2025, and Maiden will file its reply on December 16, 2025. We cannot predict when the Court will issue a decision on the motion. Maiden believes it has substantial procedural and substantive defenses to the asserted claims, and it intends to vigorously defend against these claims.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believe all of the above claims are without merit and we intend to vigorously defend ourselves. It is possible that additional lawsuits will be filed against the Company, its subsidiaries and its respective officers due to the diminution in value of our securities as a result of our operating results and financial condition. It is currently uncertain as to the effect of such litigation on our business, operating results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12. Earnings per Common Share</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shows a summary of the elements used in calculating basic and diluted earnings per common share for the three and nine months ended September 30, 2025 and 2024, respectively:</w:t>
      </w:r>
    </w:p>
    <w:tbl>
      <w:tblPr>
        <w:tblW w:w="10205" w:type="dxa"/>
        <w:jc w:val="center"/>
        <w:tblInd w:w="0" w:type="dxa"/>
        <w:tblLayout w:type="fixed"/>
        <w:tblCellMar>
          <w:top w:w="28" w:type="dxa"/>
          <w:left w:w="28" w:type="dxa"/>
          <w:bottom w:w="28" w:type="dxa"/>
          <w:right w:w="28" w:type="dxa"/>
        </w:tblCellMar>
      </w:tblPr>
      <w:tblGrid>
        <w:gridCol w:w="1517"/>
        <w:gridCol w:w="1227"/>
        <w:gridCol w:w="1230"/>
        <w:gridCol w:w="109"/>
        <w:gridCol w:w="109"/>
        <w:gridCol w:w="109"/>
        <w:gridCol w:w="307"/>
        <w:gridCol w:w="794"/>
        <w:gridCol w:w="127"/>
        <w:gridCol w:w="127"/>
        <w:gridCol w:w="127"/>
        <w:gridCol w:w="127"/>
        <w:gridCol w:w="307"/>
        <w:gridCol w:w="737"/>
        <w:gridCol w:w="127"/>
        <w:gridCol w:w="109"/>
        <w:gridCol w:w="109"/>
        <w:gridCol w:w="109"/>
        <w:gridCol w:w="264"/>
        <w:gridCol w:w="809"/>
        <w:gridCol w:w="122"/>
        <w:gridCol w:w="122"/>
        <w:gridCol w:w="122"/>
        <w:gridCol w:w="122"/>
        <w:gridCol w:w="280"/>
        <w:gridCol w:w="778"/>
        <w:gridCol w:w="178"/>
      </w:tblGrid>
      <w:tr>
        <w:trPr/>
        <w:tc>
          <w:tcPr>
            <w:tcW w:w="151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7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Numerator:</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Amount allocated to participating common shareholders</w:t>
            </w:r>
            <w:r>
              <w:rPr>
                <w:rFonts w:ascii="Times New Roman;serif" w:hAnsi="Times New Roman;serif"/>
                <w:b w:val="false"/>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2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 available to Kestrel common shareholders before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65,625 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income tax</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12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w:t>
            </w:r>
          </w:p>
        </w:tc>
        <w:tc>
          <w:tcPr>
            <w:tcW w:w="12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Amount of loss from discontinued operations allocated to participating common shareholders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Kestrel common shareholders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w:t>
            </w:r>
          </w:p>
        </w:tc>
        <w:tc>
          <w:tcPr>
            <w:tcW w:w="127"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27"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64,171 </w:t>
            </w:r>
          </w:p>
        </w:tc>
        <w:tc>
          <w:tcPr>
            <w:tcW w:w="122"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178"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Denominator:</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Weighted average number of common shares – basic and diluted</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7,741,943 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2,749,996 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5,053,828 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2,749,996 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(loss) earnings from continuing operations per share attributable to Kestrel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loss from discontinued operations per share attributable to Kestrel shareholders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2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2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and diluted (loss) earnings per share attributable to Kestrel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60"/>
        <w:ind w:left="0" w:right="0" w:hanging="360"/>
        <w:jc w:val="both"/>
        <w:rPr/>
      </w:pPr>
      <w:r>
        <w:rPr>
          <w:rFonts w:ascii="sans-serif" w:hAnsi="sans-serif"/>
          <w:b w:val="false"/>
          <w:color w:val="000000"/>
          <w:sz w:val="16"/>
        </w:rPr>
        <w:t>(1)</w:t>
      </w:r>
      <w:r>
        <w:rPr>
          <w:color w:val="000000"/>
        </w:rPr>
        <w:t xml:space="preserve"> </w:t>
      </w:r>
      <w:r>
        <w:rPr>
          <w:rFonts w:ascii="Times New Roman;serif" w:hAnsi="Times New Roman;serif"/>
          <w:b w:val="false"/>
          <w:color w:val="000000"/>
          <w:sz w:val="16"/>
        </w:rPr>
        <w:t>There were no potentially dilutive securities for the three and nine months ended September 30, 2025 and 2024.</w:t>
      </w:r>
    </w:p>
    <w:p>
      <w:pPr>
        <w:pStyle w:val="TextBody"/>
        <w:bidi w:val="0"/>
        <w:spacing w:before="0" w:after="60"/>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13. Income Taxes</w:t>
      </w:r>
    </w:p>
    <w:p>
      <w:pPr>
        <w:pStyle w:val="TextBody"/>
        <w:bidi w:val="0"/>
        <w:spacing w:lineRule="auto" w:line="244"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income tax expense of $7 and $102 for the three and nine months ended September 30, 2025 compared to $0 for the same respective periods in 2024 . The effective tax rate on the Company's net loss differs from the statutory rate of zero percent under Bermuda law due to tax on foreign operations, primarily the U.S.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A valuation allowance has been established against the net U.S. and International deferred tax assets which is primarily attributable to net operating losses in the respective regions. At this time, the Company believes it is necessary to establish a valuation allowance against the U.S. and International net deferred tax assets as more evidence is needed regarding the utilization of these losses.</w:t>
      </w:r>
    </w:p>
    <w:p>
      <w:pPr>
        <w:pStyle w:val="TextBody"/>
        <w:bidi w:val="0"/>
        <w:spacing w:lineRule="auto" w:line="240" w:before="0" w:after="120"/>
        <w:ind w:left="0" w:right="0" w:firstLine="270"/>
        <w:jc w:val="both"/>
        <w:rPr/>
      </w:pPr>
      <w:r>
        <w:rPr>
          <w:rFonts w:ascii="Times New Roman;serif" w:hAnsi="Times New Roman;serif"/>
          <w:b w:val="false"/>
          <w:color w:val="000000"/>
          <w:sz w:val="20"/>
        </w:rPr>
        <w:t>At September 30, 2025, the Company has available net operating loss carry-forwards of</w:t>
      </w:r>
      <w:r>
        <w:rPr>
          <w:color w:val="000000"/>
          <w:shd w:fill="FFFFFF" w:val="clear"/>
        </w:rPr>
        <w:t xml:space="preserve"> </w:t>
      </w:r>
      <w:r>
        <w:rPr>
          <w:rFonts w:ascii="Times New Roman;serif" w:hAnsi="Times New Roman;serif"/>
          <w:b w:val="false"/>
          <w:color w:val="000000"/>
          <w:sz w:val="20"/>
        </w:rPr>
        <w:t xml:space="preserve">$446,633 (December 31, 2024: $358) for income tax purposes. Approximately $365,302 (December 31, 2024: $0) of net operating loss ("NOL") carryforwards expire in various years beginning in 2029. As of </w:t>
      </w:r>
      <w:r>
        <w:rPr>
          <w:rFonts w:ascii="Times New Roman;serif" w:hAnsi="Times New Roman;serif"/>
          <w:b w:val="false"/>
          <w:color w:val="000000"/>
          <w:sz w:val="20"/>
          <w:shd w:fill="FFFFFF" w:val="clear"/>
        </w:rPr>
        <w:t xml:space="preserve">September 30, 2025, approximately </w:t>
      </w:r>
      <w:r>
        <w:rPr>
          <w:rFonts w:ascii="Times New Roman;serif" w:hAnsi="Times New Roman;serif"/>
          <w:b w:val="false"/>
          <w:color w:val="000000"/>
          <w:sz w:val="20"/>
        </w:rPr>
        <w:t>$81,331</w:t>
      </w:r>
      <w:r>
        <w:rPr>
          <w:color w:val="000000"/>
          <w:shd w:fill="FFFFFF" w:val="clear"/>
        </w:rPr>
        <w:t xml:space="preserve"> </w:t>
      </w:r>
      <w:r>
        <w:rPr>
          <w:rFonts w:ascii="Times New Roman;serif" w:hAnsi="Times New Roman;serif"/>
          <w:b w:val="false"/>
          <w:color w:val="000000"/>
          <w:sz w:val="20"/>
          <w:shd w:fill="FFFFFF" w:val="clear"/>
        </w:rPr>
        <w:t xml:space="preserve">or </w:t>
      </w:r>
      <w:r>
        <w:rPr>
          <w:rFonts w:ascii="Times New Roman;serif" w:hAnsi="Times New Roman;serif"/>
          <w:b w:val="false"/>
          <w:color w:val="000000"/>
          <w:sz w:val="20"/>
        </w:rPr>
        <w:t>18.2% of the Company's NOL carryforwards have no expiry date under the relevant U.S. tax law (December 31, 2024 - $358 or 100.0%).</w:t>
      </w:r>
    </w:p>
    <w:p>
      <w:pPr>
        <w:pStyle w:val="TextBody"/>
        <w:bidi w:val="0"/>
        <w:spacing w:before="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40"/>
        <w:jc w:val="both"/>
        <w:rPr>
          <w:rFonts w:ascii="Times New Roman;serif" w:hAnsi="Times New Roman;serif"/>
          <w:b/>
          <w:color w:val="000000"/>
          <w:sz w:val="20"/>
        </w:rPr>
      </w:pPr>
      <w:r>
        <w:rPr>
          <w:rFonts w:ascii="Times New Roman;serif" w:hAnsi="Times New Roman;serif"/>
          <w:b/>
          <w:color w:val="000000"/>
          <w:sz w:val="20"/>
        </w:rPr>
        <w:t>14. Assets Held for Sale</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Sale of Swedish Subsidiaries and Related IIS Operations</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As discussed in </w:t>
      </w:r>
      <w:r>
        <w:rPr>
          <w:rFonts w:ascii="Times New Roman;serif" w:hAnsi="Times New Roman;serif"/>
          <w:b w:val="false"/>
          <w:i/>
          <w:color w:val="000000"/>
          <w:sz w:val="20"/>
        </w:rPr>
        <w:t>"Note 1. Basis of Presentation"</w:t>
      </w:r>
      <w:r>
        <w:rPr>
          <w:rFonts w:ascii="Times New Roman;serif" w:hAnsi="Times New Roman;serif"/>
          <w:b w:val="false"/>
          <w:color w:val="000000"/>
          <w:sz w:val="20"/>
        </w:rPr>
        <w:t>, on November 29, 2024, Maiden entered into an agreement to sell its Swedish subsidiaries, Maiden LF and Maiden GF to a group of international insurance and reinsurance companies headquartered in the United Kingdom. Maiden GF and Maiden LF were the principal operating subsidiaries of the Company’s International Insurance Services (“IIS”) platform. The transaction was subject to customary regulatory approvals. In June 2025, the SFSA declined to approve the sale of Maiden GF and Maiden LF. The proposed acquirer whose application was denied by the SFSA and Maiden have now entered into an amended sale agreement for the acquisition of only Maiden GF at the previously agreed valuation, The proposed acquirer believes it will satisfactorily address the deficiencies identified by the SFSA in its June 2025 decision. This amended transaction remains subject to customary regulatory approval.</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sale will continue to be an all-cash transaction and pursuant to the proposed terms of the agreement, certain existing staff of Maiden GF will transition to the proposed acquirer. In the wake of the decision of the SFSA, management continues to evaluate strategic alternatives for that business, including a possible sale to a different third-party or a possible run-off and liquidation of the entity. Maiden LF and Maiden GF are not writing any new business and their non-insurance related assets and liabilities are represented as held-for-sale in our condensed consolidated financial statements.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Proposed Swedish Subsidiaries Sale agreement, it is presently intended that any remaining historic business upon closing will be fully retroceded to Maiden Reinsurance thus there will be continuing involvement regarding the historical insurance operations. Pursuant to the terms of the Proposed Swedish Subsidiaries Sale, this transaction met the relevant held for sale criteria at September 30, 2025 and accordingly, any non-insurance related assets and liabilities related to the sale consideration are classified as held-for-sale in the Condensed Consolidated Balance Sheets as at September 30, 2025. The held-for-sale assets and liabilities and discontinued operations in the tables further below do not include any insurance related balances.</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Under the accounting guidance in ASC Topic 205, a business that, upon acquisition, meets the held-for-sale criteria is not analyzed under the strategic shift test. Instead, it is reported in discontinued operations automatically based on its held-for-sale classification. The strategic shift test does not apply because the acquired businesses were not previously part of Kestrel Group who represents the acquiring entity and therefore would be classified as held-for-sale on the acquisition date. As the condensed consolidated statement of operations of Maiden included operations of Maiden GF and Maiden LF for the periods presented, adjustments to exclude the discontinued non-insurance activities of Maiden GF and Maiden LF were made for the three and nine months ended September 30, 2025. All insurance related balances are excluded from the held-for-sale assets and liabilities which amounted to net insurance liabilities of $4,692 as at September 30, 2025.</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estimated the fair value of the net assets held-for-sale to be based on the estimated selling price less costs to sell and these assets are classified as Level 2 within the fair value hierarchy as of September 30, 2025. The assets and liabilities classified as held for sale on the Company's Condensed Consolidated Balance Sheets as at September 30, 2025 include the following:</w:t>
      </w:r>
    </w:p>
    <w:tbl>
      <w:tblPr>
        <w:tblW w:w="5778" w:type="dxa"/>
        <w:jc w:val="left"/>
        <w:tblInd w:w="0" w:type="dxa"/>
        <w:tblLayout w:type="fixed"/>
        <w:tblCellMar>
          <w:top w:w="28" w:type="dxa"/>
          <w:left w:w="28" w:type="dxa"/>
          <w:bottom w:w="28" w:type="dxa"/>
          <w:right w:w="28" w:type="dxa"/>
        </w:tblCellMar>
      </w:tblPr>
      <w:tblGrid>
        <w:gridCol w:w="1443"/>
        <w:gridCol w:w="1267"/>
        <w:gridCol w:w="1279"/>
        <w:gridCol w:w="109"/>
        <w:gridCol w:w="109"/>
        <w:gridCol w:w="109"/>
        <w:gridCol w:w="243"/>
        <w:gridCol w:w="831"/>
        <w:gridCol w:w="125"/>
        <w:gridCol w:w="109"/>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 available-for-sale, at fair value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held for sale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19,155 </w:t>
            </w:r>
          </w:p>
        </w:tc>
        <w:tc>
          <w:tcPr>
            <w:tcW w:w="12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2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major classes of items constituting the results from discontinued operations for the three and nine months ended September 30, 2025 presented in the Condensed Consolidated Statements of Income:</w:t>
      </w:r>
    </w:p>
    <w:tbl>
      <w:tblPr>
        <w:tblW w:w="10205" w:type="dxa"/>
        <w:jc w:val="center"/>
        <w:tblInd w:w="0" w:type="dxa"/>
        <w:tblLayout w:type="fixed"/>
        <w:tblCellMar>
          <w:top w:w="28" w:type="dxa"/>
          <w:left w:w="28" w:type="dxa"/>
          <w:bottom w:w="28" w:type="dxa"/>
          <w:right w:w="28" w:type="dxa"/>
        </w:tblCellMar>
      </w:tblPr>
      <w:tblGrid>
        <w:gridCol w:w="1043"/>
        <w:gridCol w:w="863"/>
        <w:gridCol w:w="866"/>
        <w:gridCol w:w="109"/>
        <w:gridCol w:w="109"/>
        <w:gridCol w:w="109"/>
        <w:gridCol w:w="706"/>
        <w:gridCol w:w="1665"/>
        <w:gridCol w:w="366"/>
        <w:gridCol w:w="109"/>
        <w:gridCol w:w="2669"/>
        <w:gridCol w:w="109"/>
        <w:gridCol w:w="109"/>
        <w:gridCol w:w="109"/>
        <w:gridCol w:w="211"/>
        <w:gridCol w:w="677"/>
        <w:gridCol w:w="109"/>
        <w:gridCol w:w="109"/>
        <w:gridCol w:w="158"/>
      </w:tblGrid>
      <w:tr>
        <w:trPr/>
        <w:tc>
          <w:tcPr>
            <w:tcW w:w="104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1591" w:type="dxa"/>
            <w:gridSpan w:val="8"/>
            <w:tcBorders/>
          </w:tcPr>
          <w:p>
            <w:pPr>
              <w:pStyle w:val="TableContents"/>
              <w:bidi w:val="0"/>
              <w:spacing w:before="0" w:after="283"/>
              <w:jc w:val="left"/>
              <w:rPr>
                <w:sz w:val="4"/>
                <w:szCs w:val="4"/>
              </w:rPr>
            </w:pPr>
            <w:r>
              <w:rPr>
                <w:sz w:val="4"/>
                <w:szCs w:val="4"/>
              </w:rPr>
            </w:r>
          </w:p>
        </w:tc>
      </w:tr>
      <w:tr>
        <w:trPr/>
        <w:tc>
          <w:tcPr>
            <w:tcW w:w="27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72"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66"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7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and other losses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6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15. Business Combination</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May 27, 2025, Kestrel LLC completed the business combination with Maiden, pursuant to the terms of the Combination Agreement. The equityholders of Kestrel LLC at the closing date received an aggregate of $40.0 million in upfront cash and 2,749,996 common shares of the combined company. In addition, the former equityholders of Kestrel LLC remain entitled to receive contingent consideration up to the lesser of (x) $45.0 million payable in common shares of Kestrel Group upon the achievement of certain financial milestones, and (y) 2.75 million common shares of Kestrel Group. After the closing of the Combination Agreement, the group was rebranded as Kestrel Group and is the successor company to Maiden. The Company’s authorized share capital consists of 42,500,000 shares.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Combination was accounted for as a business combination in accordance with ASC 805, which requires assets acquired and liabilities assumed to be measured at their acquisition date fair value. The Company also adopted ASU 2021-08, effective as of January 1, 2025, to record contract liabilities at their carrying value as of the acquisition date. Although Maiden was the legal acquirer, Kestrel LLC was determined to be the accounting acquirer and the legal acquiree. As a result, Kestrel LLC and its subsidiaries’ net assets were carried at historical value, acquired net assets of Maiden and its subsidiaries were measured at fair value except contract liabilities being recorded at carrying value at the acquisition date, and results of operations of Maiden and its subsidiaries were included in the Company’s Condensed Consolidated Financial Statements from May 27, 2025.</w:t>
      </w:r>
    </w:p>
    <w:p>
      <w:pPr>
        <w:pStyle w:val="TextBody"/>
        <w:bidi w:val="0"/>
        <w:spacing w:lineRule="auto" w:line="216" w:before="0" w:after="120"/>
        <w:jc w:val="both"/>
        <w:rPr>
          <w:rFonts w:ascii="Times New Roman;serif" w:hAnsi="Times New Roman;serif"/>
          <w:b/>
          <w:color w:val="000000"/>
          <w:sz w:val="20"/>
        </w:rPr>
      </w:pPr>
      <w:r>
        <w:rPr>
          <w:rFonts w:ascii="Times New Roman;serif" w:hAnsi="Times New Roman;serif"/>
          <w:b/>
          <w:color w:val="000000"/>
          <w:sz w:val="20"/>
        </w:rPr>
        <w:t>Purchase Price and Purchase Price Allocation</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Management performed an estimation of fair values of Maiden and its subsidiaries' assets and liabilities as of May 27, 2025. The estimated fair values of the assets and liabilities are based on discussions with Maiden’s management, valuation studies, the transaction due diligence, and information presented in Maiden’s SEC filings. The final purchase price and estimated purchase price allocation herein may be different than the information previously filed with the SEC, and such differences could be material.</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is continuing its review of these matters during the measurement period, and if new information obtained about facts and circumstances that existed at the acquisition date identifies adjustments to the liabilities initially recognized, as well as any additional liabilities that existed at the acquisition date, the acquisition accounting will be revised to reflect the resulting adjustments to the provisional amounts initially recognized. The Company will finalize the purchase price allocation during the twelve-month period following the acquisition date.</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Purchase Price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final purchase price was based on the fair value of the issued and outstanding common shares at the closing of the Combination on May 27, 2025. The following table summarizes the final purchase price as of May 27, 2025:</w:t>
      </w:r>
    </w:p>
    <w:p>
      <w:pPr>
        <w:pStyle w:val="TextBody"/>
        <w:bidi w:val="0"/>
        <w:spacing w:before="0" w:after="0"/>
        <w:jc w:val="left"/>
        <w:rPr/>
      </w:pPr>
      <w:r>
        <w:rPr/>
      </w:r>
    </w:p>
    <w:tbl>
      <w:tblPr>
        <w:tblW w:w="8656" w:type="dxa"/>
        <w:jc w:val="left"/>
        <w:tblInd w:w="0" w:type="dxa"/>
        <w:tblLayout w:type="fixed"/>
        <w:tblCellMar>
          <w:top w:w="28" w:type="dxa"/>
          <w:left w:w="28" w:type="dxa"/>
          <w:bottom w:w="28" w:type="dxa"/>
          <w:right w:w="28" w:type="dxa"/>
        </w:tblCellMar>
      </w:tblPr>
      <w:tblGrid>
        <w:gridCol w:w="2576"/>
        <w:gridCol w:w="2269"/>
        <w:gridCol w:w="2280"/>
        <w:gridCol w:w="109"/>
        <w:gridCol w:w="109"/>
        <w:gridCol w:w="109"/>
        <w:gridCol w:w="213"/>
        <w:gridCol w:w="837"/>
        <w:gridCol w:w="154"/>
      </w:tblGrid>
      <w:tr>
        <w:trPr/>
        <w:tc>
          <w:tcPr>
            <w:tcW w:w="2576"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Kestrel Group Ltd shares issued at Closing</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7,221,621 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Kestrel Group Ltd share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equity portion of consideration transferred at Closing</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166,097 </w:t>
            </w:r>
          </w:p>
        </w:tc>
        <w:tc>
          <w:tcPr>
            <w:tcW w:w="15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Kestrel Group Ltd shares retained as treasury shares by Maiden Reinsurance at Closing</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(2,237,534)</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Kestrel Group Ltd share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portion of consideration transferred to Maiden Reinsurance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(51,463)</w:t>
            </w:r>
          </w:p>
        </w:tc>
        <w:tc>
          <w:tcPr>
            <w:tcW w:w="154"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equity portion of consideration transferred at Closing</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114,634 </w:t>
            </w:r>
          </w:p>
        </w:tc>
        <w:tc>
          <w:tcPr>
            <w:tcW w:w="154" w:type="dxa"/>
            <w:tcBorders/>
            <w:shd w:fill="CD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paid to shareholders at Closing for fractional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Portion of the Maiden awards attributable to pre-combination service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Intercompany settlement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1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consideration effectively transferred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115,537 </w:t>
            </w:r>
          </w:p>
        </w:tc>
        <w:tc>
          <w:tcPr>
            <w:tcW w:w="154"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120"/>
        <w:jc w:val="both"/>
        <w:rPr/>
      </w:pPr>
      <w:r>
        <w:rPr/>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KESTREL GROUP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15. Business Combination (continued)</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Estimated Purchase Price Allocation</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allocation of the estimate of the purchase price to the assets acquired and liabilities assumed as of May 27, 2025:</w:t>
      </w:r>
    </w:p>
    <w:tbl>
      <w:tblPr>
        <w:tblW w:w="5507" w:type="dxa"/>
        <w:jc w:val="left"/>
        <w:tblInd w:w="0" w:type="dxa"/>
        <w:tblLayout w:type="fixed"/>
        <w:tblCellMar>
          <w:top w:w="28" w:type="dxa"/>
          <w:left w:w="28" w:type="dxa"/>
          <w:bottom w:w="28" w:type="dxa"/>
          <w:right w:w="28" w:type="dxa"/>
        </w:tblCellMar>
      </w:tblPr>
      <w:tblGrid>
        <w:gridCol w:w="1443"/>
        <w:gridCol w:w="1271"/>
        <w:gridCol w:w="1275"/>
        <w:gridCol w:w="109"/>
        <w:gridCol w:w="109"/>
        <w:gridCol w:w="109"/>
        <w:gridCol w:w="211"/>
        <w:gridCol w:w="826"/>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 available-for-sale, at fair value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208,855 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32,326 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cash equivalents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68,358 </w:t>
            </w:r>
          </w:p>
        </w:tc>
        <w:tc>
          <w:tcPr>
            <w:tcW w:w="154" w:type="dxa"/>
            <w:tcBorders/>
            <w:shd w:fill="CD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Accrued investment income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Reinsurance balances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Reinsurance recoverable on unpaid losses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517,028 </w:t>
            </w:r>
          </w:p>
        </w:tc>
        <w:tc>
          <w:tcPr>
            <w:tcW w:w="154" w:type="dxa"/>
            <w:tcBorders/>
            <w:shd w:fill="CD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loan receivable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Funds withheld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assets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19,876 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 and loss adjustment expenses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(738,137)</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Unearned premiums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(68,453)</w:t>
            </w:r>
          </w:p>
        </w:tc>
        <w:tc>
          <w:tcPr>
            <w:tcW w:w="154" w:type="dxa"/>
            <w:tcBorders/>
            <w:shd w:fill="CD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Senior notes -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 for sale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154" w:type="dxa"/>
            <w:tcBorders/>
            <w:shd w:fill="CDFFC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Bargain purchase gain</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(73,590)</w:t>
            </w:r>
          </w:p>
        </w:tc>
        <w:tc>
          <w:tcPr>
            <w:tcW w:w="154" w:type="dxa"/>
            <w:tcBorders/>
            <w:shd w:fill="CD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consideration effectively transferred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the closing date on May 27, 2025, the fair value of Maiden's net assets acquired were $189,127 which exceeded the consideration effectively transferred of $115,537, resulting in a bargain purchase gain of $73,590 as shown in the table above. This gain was recognized immediately in the condensed consolidated statement of income of Kestrel for the nine months ended September 30, 2025.</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As discussed in </w:t>
      </w:r>
      <w:r>
        <w:rPr>
          <w:rFonts w:ascii="Times New Roman;serif" w:hAnsi="Times New Roman;serif"/>
          <w:b w:val="false"/>
          <w:i/>
          <w:color w:val="000000"/>
          <w:sz w:val="20"/>
        </w:rPr>
        <w:t>Note 11. Commitments, Contingencies and Guarantees</w:t>
      </w:r>
      <w:r>
        <w:rPr>
          <w:rFonts w:ascii="Times New Roman;serif" w:hAnsi="Times New Roman;serif"/>
          <w:b w:val="false"/>
          <w:color w:val="000000"/>
          <w:sz w:val="20"/>
        </w:rPr>
        <w:t>, Kestrel Equityholders are entitled to receive in contingent consideration up to the lesser of (x) an aggregate number of Kestrel Group Ltd common shares equal to $45.0 million divided by certain volume weighted average prices of such shares, subject to the achievement of certain EBITDA milestones by the businesses that Kestrel conducted immediately prior to closing and any extensions of such businesses or related or ancillary businesses existing thereafter, subject to other terms and conditions as set forth in the combination agreement and (y) 2.75 million common shares of Kestrel Group. On September 30, 2025, the fair value of this contingent consideration was reduced to $0 as the business subject to the earnout computatiom continues to be re-evaluated. The fair value of the earn out liability decreased by $2,679 and $0 for the three and nine months ended September 30, 2025, respectively, and recognized in the condensed consolidated statement of income on its own line item.</w:t>
      </w:r>
    </w:p>
    <w:p>
      <w:pPr>
        <w:pStyle w:val="TextBody"/>
        <w:bidi w:val="0"/>
        <w:spacing w:lineRule="auto" w:line="240" w:before="60" w:after="283"/>
        <w:ind w:left="0" w:right="0" w:firstLine="270"/>
        <w:jc w:val="both"/>
        <w:rPr/>
      </w:pPr>
      <w:r>
        <w:rPr>
          <w:rFonts w:ascii="Times New Roman;serif" w:hAnsi="Times New Roman;serif"/>
          <w:b w:val="false"/>
          <w:color w:val="000000"/>
          <w:sz w:val="20"/>
        </w:rPr>
        <w:t xml:space="preserve">In connection with the Combination on May 27, 2025, the assets and liabilities of Maiden were recorded at fair value measured as of the acquisition date. Therefore, the net reserves for losses and LAE were remeasured at fair value, and based on discounted cash flow valuation techniques, a discount to net loss reserves was required which was recorded in intangible assets. At the closing date of May 27, 2025, the intangible assets acquired also consist of VOBA, as defined in </w:t>
      </w:r>
      <w:r>
        <w:rPr>
          <w:rFonts w:ascii="Times New Roman;serif" w:hAnsi="Times New Roman;serif"/>
          <w:b w:val="false"/>
          <w:i/>
          <w:color w:val="000000"/>
          <w:sz w:val="20"/>
        </w:rPr>
        <w:t>Note 2. Significant Accounting Policies</w:t>
      </w:r>
      <w:r>
        <w:rPr>
          <w:rFonts w:ascii="Times New Roman;serif" w:hAnsi="Times New Roman;serif"/>
          <w:b w:val="false"/>
          <w:color w:val="000000"/>
          <w:sz w:val="20"/>
        </w:rPr>
        <w:t>. The following table presents the components of intangible assets acquired at May 27, 2025 and September 30, 2025:</w:t>
      </w:r>
    </w:p>
    <w:tbl>
      <w:tblPr>
        <w:tblW w:w="9023" w:type="dxa"/>
        <w:jc w:val="left"/>
        <w:tblInd w:w="0" w:type="dxa"/>
        <w:tblLayout w:type="fixed"/>
        <w:tblCellMar>
          <w:top w:w="28" w:type="dxa"/>
          <w:left w:w="28" w:type="dxa"/>
          <w:bottom w:w="28" w:type="dxa"/>
          <w:right w:w="28" w:type="dxa"/>
        </w:tblCellMar>
      </w:tblPr>
      <w:tblGrid>
        <w:gridCol w:w="1893"/>
        <w:gridCol w:w="1665"/>
        <w:gridCol w:w="1676"/>
        <w:gridCol w:w="109"/>
        <w:gridCol w:w="109"/>
        <w:gridCol w:w="109"/>
        <w:gridCol w:w="225"/>
        <w:gridCol w:w="769"/>
        <w:gridCol w:w="116"/>
        <w:gridCol w:w="109"/>
        <w:gridCol w:w="109"/>
        <w:gridCol w:w="109"/>
        <w:gridCol w:w="313"/>
        <w:gridCol w:w="1070"/>
        <w:gridCol w:w="161"/>
        <w:gridCol w:w="109"/>
        <w:gridCol w:w="109"/>
        <w:gridCol w:w="109"/>
        <w:gridCol w:w="154"/>
      </w:tblGrid>
      <w:tr>
        <w:trPr/>
        <w:tc>
          <w:tcPr>
            <w:tcW w:w="1893"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May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523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Value of Business Acquired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11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6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discount on acquired net reserves for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Intangible Assets at acquisition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11,864 </w:t>
            </w:r>
          </w:p>
        </w:tc>
        <w:tc>
          <w:tcPr>
            <w:tcW w:w="1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10,370 </w:t>
            </w:r>
          </w:p>
        </w:tc>
        <w:tc>
          <w:tcPr>
            <w:tcW w:w="16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40" w:before="20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The following discussion and analysis of our financial condition and results of operations should be read in conjunction with our unaudited Condensed Consolidated Financial Statements and related notes included elsewhere in this Quarterly Report on Form 10-Q (this "Form 10-Q" or this "Report"). References in this Form 10-Q to the terms "we", "us", "our", "the Company", "Kestrel" or other similar terms mean the consolidated operations of Kestrel Group Ltd and its subsidiaries, unless the context requires otherwise. References in this Form 10-Q to the term "Kestrel Group" means Kestrel Group Ltd only.</w:t>
      </w:r>
      <w:r>
        <w:rPr>
          <w:color w:val="000000"/>
        </w:rPr>
        <w:t xml:space="preserve"> </w:t>
      </w:r>
      <w:r>
        <w:rPr>
          <w:rFonts w:ascii="Times New Roman;serif" w:hAnsi="Times New Roman;serif"/>
          <w:b w:val="false"/>
          <w:i/>
          <w:color w:val="000000"/>
          <w:sz w:val="20"/>
        </w:rPr>
        <w:t>Certain reclassifications have been made for 2024 to conform to the 2025 presentation and have no impact on consolidated net income and total equity previously reported.</w: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Note on Forward-Looking Statements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includes anticipated benefits of the business combination and integration of Maiden Holdings Ltd. and Kestrel Group LLC, projections concerning financial information and statements concerning future economic performance and events, plans and objectives relating to management, operations, products and services, and assumptions underlying these projections and statements. These projections and statements are forward-looking statements within the meaning of The Private Securities Litigation Reform Act of 1995 and are not historical facts but instead represent only our belief regarding future events, many of which, by their nature, are inherently uncertain and outside our control. These projections and statements may address, among other things, our strategy for growth, product development, financial results and reserves. Our actual results and financial condition may differ, possibly materially, from these projections and statements and therefore you should not place undue reliance on them. </w:t>
      </w:r>
    </w:p>
    <w:p>
      <w:pPr>
        <w:pStyle w:val="TextBody"/>
        <w:bidi w:val="0"/>
        <w:spacing w:lineRule="auto" w:line="240" w:before="0" w:after="120"/>
        <w:ind w:left="0" w:right="0" w:firstLine="270"/>
        <w:jc w:val="both"/>
        <w:rPr/>
      </w:pPr>
      <w:r>
        <w:rPr>
          <w:rFonts w:ascii="Times New Roman;serif" w:hAnsi="Times New Roman;serif"/>
          <w:b w:val="false"/>
          <w:color w:val="000000"/>
          <w:sz w:val="20"/>
        </w:rPr>
        <w:t>Factors that could cause our actual results and financial condition to differ, possibly materially, from those in the specific projections and statements are discussed throughout the Management's Discussion and Analysis of Financial Condition and Results of Operations and in</w:t>
      </w:r>
      <w:r>
        <w:rPr>
          <w:color w:val="000000"/>
        </w:rPr>
        <w:t xml:space="preserve">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in Item 1A. of Part II of our Quarterly Report on Form 10-Q for the quarter ended June 30, 2025 that was filed with the U.S. Securities and Exchange Commission ("SEC") on August 15, 2025, however, those factors should not be construed as exhaustive. Forward-looking statements speak only as of the date they are made and we undertake no obligation to update or revise any forward-looking statement that may be made from time to time, whether as a result of new information, future developments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40" w:before="200" w:after="12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Introductory Note</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May 27, 2025, Kestrel Group LLC (“Kestrel LLC”) and Maiden Holdings, Ltd. (“Maiden”) completed their previously announced combination ("Combination"), forming a new, publicly listed specialty program group operating under the name Kestrel Group Ltd (“Kestrel Group”). The Combination was previously announced on December 30, 2024. Maiden shares ceased trading on the NASDAQ Capital Market ("Nasdaq") at close of market on May 27, 2025. Kestrel Group shares began trading on the Nasdaq at open of market on May 28, 2025 under the ticker symbol “KG”. Upon the closing of the Transactions (the “Closing”), Maiden and Kestrel LLC are now wholly owned subsidiaries of the Company, which was rebranded as Kestrel Group and renamed “Kestrel Group Ltd” ("Kestrel Group").</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Combination creates a capital light, fee-based insurance platform with the ability to selectively deploy underwriting capacity to optimize shareholder returns, with a commitment to innovation, client service and long-term relationships. </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Kestrel Group specializes in providing fronting services to insurance program managers, managing general agencies (MGAs), reinsurers, and reinsurance brokers. Kestrel Group facilitates insurance transactions utilizing its exclusive management contracts with four insurance carriers, all of which are rated A- “Excellent” by A.M. Best. These contracts enable Kestrel Group to offer both admitted and surplus lines in all U.S. states. Kestrel LLC generally does not assume significant underwriting risk and produces lines of business such as casualty, workers’ compensation, catastrophe-exposed property, and non-catastrophe-exposed property, with diverse risk durations, sizes, and product types.</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Kestrel Group continues to write business through its exclusive use of A.M. Best A- FSC XV insurance carriers Sierra Specialty Insurance Company, Rochdale Insurance Company, Park National Insurance Company and Republic Fire and Casualty Insurance Company (collectively, “AmTrust Insurance Companies”), all subsidiaries of AmTrust Financial Services, Inc. (“AmTrust”). Kestrel Group currently retains an option to acquire the AmTrust Insurance Companies for a period of up to three years after closing from AmTrust. AmTrust is a significant shareholder of Kestrel Group. Please see </w:t>
      </w:r>
      <w:r>
        <w:rPr>
          <w:rFonts w:ascii="Times New Roman;serif" w:hAnsi="Times New Roman;serif"/>
          <w:b w:val="false"/>
          <w:i/>
          <w:color w:val="000000"/>
          <w:sz w:val="20"/>
        </w:rPr>
        <w:t>Note 10. Related Party Transactions</w:t>
      </w:r>
      <w:r>
        <w:rPr>
          <w:color w:val="000000"/>
        </w:rPr>
        <w:t xml:space="preserve"> </w:t>
      </w:r>
      <w:r>
        <w:rPr>
          <w:rFonts w:ascii="Times New Roman;serif" w:hAnsi="Times New Roman;serif"/>
          <w:b w:val="false"/>
          <w:color w:val="000000"/>
          <w:sz w:val="20"/>
        </w:rPr>
        <w:t xml:space="preserve">for further information regarding the Company's relationship with AmTrust.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September 30, 2025, Maiden Reinsurance owns 22.4% of the Company's total outstanding common shares which is eliminated for accounting and financial reporting purposes on the Company's condensed consolidated financial statements. On April 29, 2025, former Maiden shareholders approved the proposal to remove the 9.5% voting limitation at the Company's special general meeting of its shareholders (the "Special Meeting"). The ownership of common shares by Maiden Reinsurance was made in compliance with Maiden Reinsurance's investment policy and approved by the Vermont Department of Financial Regulation ("Vermont DFR").</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Current Operations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consists of two reportable segments: Program Services and Legacy Reinsurance. </w:t>
      </w:r>
    </w:p>
    <w:p>
      <w:pPr>
        <w:pStyle w:val="TextBody"/>
        <w:bidi w:val="0"/>
        <w:spacing w:lineRule="auto" w:line="240" w:before="0" w:after="120"/>
        <w:ind w:left="0" w:right="0" w:firstLine="270"/>
        <w:jc w:val="both"/>
        <w:rPr/>
      </w:pPr>
      <w:r>
        <w:rPr>
          <w:rFonts w:ascii="Times New Roman;serif" w:hAnsi="Times New Roman;serif"/>
          <w:b w:val="false"/>
          <w:color w:val="000000"/>
          <w:sz w:val="20"/>
        </w:rPr>
        <w:t>Our Program Services segment consists of a cohesive suite of products and services offered by Kestrel that are integrated and interdependent. Kestrel’s revenue is highly concentrated because of the capacity distribution agreements with an individual customer. Capacity distribution fees are collected from program managers or MGAs for providing support services and granting contractual access to our insurance carrier network and are considered a single performance obligation. Support services provided for these insurance and reinsurance brokerage arrangements include compliance and regulatory reporting and administrative support which culminate in the placement of bound insurance coverage. Kestrel considers these arrangements a single revenue stream</w:t>
      </w:r>
      <w:r>
        <w:rPr>
          <w:rFonts w:ascii="Times New Roman;serif" w:hAnsi="Times New Roman;serif"/>
          <w:b w:val="false"/>
          <w:i/>
          <w:color w:val="000000"/>
          <w:sz w:val="20"/>
        </w:rPr>
        <w:t xml:space="preserv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Legacy Reinsurance segment consists of primarily reinsurance business previously produced by Maiden, which had been segregated into two reportable segments: AmTrust Reinsurance and Diversified Reinsurance. Business formerly classified in the AmTrust Reinsurance segment is now described as "AmTrust Reinsurance Legacy Business" while business formerly classified in the Diversified Reinsurance segment is referred to as "Diversified Reinsurance Legacy Business" within this new segment.</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AmTrust Reinsurance Legacy Business includes all business ceded to Maiden Reinsurance by AmTrust, primarily the quota share reinsurance agreement (“AmTrust Quota Share”) between Maiden Reinsurance and AmTrust’s wholly owned subsidiary, AmTrust International Insurance, Ltd. (“AII”) and the European hospital liability quota share reinsurance contract ("European Hospital Liability Quota Share") with AmTrust’s wholly owned subsidiaries, AEL and AIU DAC, both of which are in run-off effective as of January 1, 2019, as discussed in </w:t>
      </w:r>
      <w:r>
        <w:rPr>
          <w:rFonts w:ascii="Times New Roman;serif" w:hAnsi="Times New Roman;serif"/>
          <w:b w:val="false"/>
          <w:i/>
          <w:color w:val="000000"/>
          <w:sz w:val="20"/>
        </w:rPr>
        <w:t>Note 10. Related Party Transactions</w:t>
      </w:r>
      <w:r>
        <w:rPr>
          <w:color w:val="000000"/>
        </w:rPr>
        <w:t xml:space="preserve"> </w:t>
      </w:r>
      <w:r>
        <w:rPr>
          <w:rFonts w:ascii="Times New Roman;serif" w:hAnsi="Times New Roman;serif"/>
          <w:b w:val="false"/>
          <w:color w:val="000000"/>
          <w:sz w:val="20"/>
        </w:rPr>
        <w:t xml:space="preserve">of the Notes to Condensed Consolidated Financial Statements included in Part I Item 1. </w:t>
      </w:r>
      <w:r>
        <w:rPr>
          <w:rFonts w:ascii="Times New Roman;serif" w:hAnsi="Times New Roman;serif"/>
          <w:b w:val="false"/>
          <w:i/>
          <w:color w:val="000000"/>
          <w:sz w:val="20"/>
        </w:rPr>
        <w:t>"Financial Information"</w:t>
      </w:r>
      <w:r>
        <w:rPr>
          <w:rFonts w:ascii="Times New Roman;serif" w:hAnsi="Times New Roman;serif"/>
          <w:b w:val="false"/>
          <w:color w:val="000000"/>
          <w:sz w:val="20"/>
        </w:rPr>
        <w:t xml:space="preserve">. In addition, the Company has a retroactive reinsurance agreement and a commutation agreement that further reduces its exposure and limits the potential volatility related to AmTrust liabilities, which are discussed in </w:t>
      </w:r>
      <w:r>
        <w:rPr>
          <w:rFonts w:ascii="Times New Roman;serif" w:hAnsi="Times New Roman;serif"/>
          <w:b w:val="false"/>
          <w:i/>
          <w:color w:val="000000"/>
          <w:sz w:val="20"/>
        </w:rPr>
        <w:t>Note 8. Reinsurance</w:t>
      </w:r>
      <w:r>
        <w:rPr>
          <w:color w:val="000000"/>
        </w:rPr>
        <w:t xml:space="preserve"> </w:t>
      </w:r>
      <w:r>
        <w:rPr>
          <w:rFonts w:ascii="Times New Roman;serif" w:hAnsi="Times New Roman;serif"/>
          <w:b w:val="false"/>
          <w:color w:val="000000"/>
          <w:sz w:val="20"/>
        </w:rPr>
        <w:t xml:space="preserve">of the Notes to Condensed Consolidated Financial Statements included in Part I Item 1. </w:t>
      </w:r>
      <w:r>
        <w:rPr>
          <w:rFonts w:ascii="Times New Roman;serif" w:hAnsi="Times New Roman;serif"/>
          <w:b w:val="false"/>
          <w:i/>
          <w:color w:val="000000"/>
          <w:sz w:val="20"/>
        </w:rPr>
        <w:t>"Financial Information"</w:t>
      </w:r>
      <w:r>
        <w:rPr>
          <w:rFonts w:ascii="Times New Roman;serif" w:hAnsi="Times New Roman;serif"/>
          <w:b w:val="false"/>
          <w:color w:val="000000"/>
          <w:sz w:val="20"/>
        </w:rPr>
        <w:t>.</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Diversified Reinsurance legacy business comprises a run-off portfolio of predominantly property and casualty reinsurance business focusing on regional and specialty property and casualty insurance companies located primarily in Europe, as well as transactions entered into by GLS as described in </w:t>
      </w:r>
      <w:r>
        <w:rPr>
          <w:rFonts w:ascii="Times New Roman;serif" w:hAnsi="Times New Roman;serif"/>
          <w:b w:val="false"/>
          <w:i/>
          <w:color w:val="000000"/>
          <w:sz w:val="20"/>
        </w:rPr>
        <w:t xml:space="preserve">Note 1. Basis of Presentation </w:t>
      </w:r>
      <w:r>
        <w:rPr>
          <w:rFonts w:ascii="Times New Roman;serif" w:hAnsi="Times New Roman;serif"/>
          <w:b w:val="false"/>
          <w:color w:val="000000"/>
          <w:sz w:val="20"/>
        </w:rPr>
        <w:t xml:space="preserve">under </w:t>
      </w:r>
      <w:r>
        <w:rPr>
          <w:rFonts w:ascii="Times New Roman;serif" w:hAnsi="Times New Roman;serif"/>
          <w:b w:val="false"/>
          <w:i/>
          <w:color w:val="000000"/>
          <w:sz w:val="20"/>
        </w:rPr>
        <w:t xml:space="preserve">Maiden Legacy Operations.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does not presently underwrite prospective reinsurance risks but may consider selectively deploying underwriting capacity to optimize shareholder returns in support of the Company's Program Services operations.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Business Strategy</w:t>
      </w:r>
    </w:p>
    <w:p>
      <w:pPr>
        <w:pStyle w:val="TextBody"/>
        <w:bidi w:val="0"/>
        <w:spacing w:lineRule="auto" w:line="240" w:before="60" w:after="120"/>
        <w:ind w:left="0" w:right="0" w:firstLine="270"/>
        <w:jc w:val="both"/>
        <w:rPr/>
      </w:pPr>
      <w:r>
        <w:rPr>
          <w:rFonts w:ascii="Times New Roman;serif" w:hAnsi="Times New Roman;serif"/>
          <w:b w:val="false"/>
          <w:color w:val="000000"/>
          <w:sz w:val="20"/>
        </w:rPr>
        <w:t>Our strategic focus centers on growing the fee income component of our program services business, which will increase our earnings before interest, taxes, depreciation and amortization ("EBITDA") while effectively managing the continuing run-off of the legacy Maiden alternative asset and reinsurance portfolios. Our focus on growing our fee business may include but may consider selectively deploying underwriting capacity to optimize shareholder returns in support of this business. We continue to actively pursue with our existing partners reinsurance mechanisms that would selectively deploy the Company’s underwriting capacity and facilitate and accelerate the growth of our Program Services segment</w:t>
      </w:r>
      <w:r>
        <w:rPr>
          <w:rFonts w:ascii="sans-serif" w:hAnsi="sans-serif"/>
          <w:b w:val="false"/>
          <w:color w:val="000000"/>
          <w:sz w:val="24"/>
        </w:rPr>
        <w:t>.</w:t>
      </w:r>
    </w:p>
    <w:p>
      <w:pPr>
        <w:pStyle w:val="TextBody"/>
        <w:bidi w:val="0"/>
        <w:spacing w:lineRule="auto" w:line="240" w:before="18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believe this will create the greatest risk-adjusted shareholder returns in order to increase EBITDA and book value for our common shareholders, both near and long-term. Our assessment is that these areas of strategic focus would enhance our profitability through increased returns, which would also increase the likelihood of fully utilizing the significant net operating loss ("NOL") carryforwards, as described further below, which would increase both GAAP book value and create additional common shareholder value. The recognition of the deferred tax asset on our balance sheet remains a leading priority for the Company to increase its GAAP book value.</w:t>
      </w:r>
    </w:p>
    <w:p>
      <w:pPr>
        <w:pStyle w:val="TextBody"/>
        <w:bidi w:val="0"/>
        <w:spacing w:lineRule="auto" w:line="240" w:before="0" w:after="120"/>
        <w:ind w:left="0" w:right="0" w:firstLine="270"/>
        <w:jc w:val="both"/>
        <w:rPr/>
      </w:pPr>
      <w:r>
        <w:rPr>
          <w:rFonts w:ascii="Times New Roman;serif" w:hAnsi="Times New Roman;serif"/>
          <w:b w:val="false"/>
          <w:color w:val="000000"/>
          <w:sz w:val="20"/>
          <w:shd w:fill="FFFFFF" w:val="clear"/>
        </w:rPr>
        <w:t>As a result of the Combination, as of September 30, 2025</w:t>
      </w:r>
      <w:r>
        <w:rPr>
          <w:rFonts w:ascii="Times New Roman;serif" w:hAnsi="Times New Roman;serif"/>
          <w:b w:val="false"/>
          <w:color w:val="000000"/>
          <w:sz w:val="20"/>
        </w:rPr>
        <w:t>, we invested $215.7 million into alternative investments which include equity securities, equity method investments and other investments in a wide variety of asset classes. Please refer to the</w:t>
      </w:r>
      <w:r>
        <w:rPr>
          <w:color w:val="000000"/>
        </w:rPr>
        <w:t xml:space="preserve"> </w:t>
      </w:r>
      <w:r>
        <w:rPr>
          <w:rFonts w:ascii="Times New Roman;serif" w:hAnsi="Times New Roman;serif"/>
          <w:b w:val="false"/>
          <w:i/>
          <w:color w:val="000000"/>
          <w:sz w:val="20"/>
        </w:rPr>
        <w:t>"Liquidity and Capital Resources"</w:t>
      </w:r>
      <w:r>
        <w:rPr>
          <w:color w:val="000000"/>
        </w:rPr>
        <w:t xml:space="preserve"> </w:t>
      </w:r>
      <w:r>
        <w:rPr>
          <w:rFonts w:ascii="Times New Roman;serif" w:hAnsi="Times New Roman;serif"/>
          <w:b w:val="false"/>
          <w:color w:val="000000"/>
          <w:sz w:val="20"/>
        </w:rPr>
        <w:t>section on "</w:t>
      </w:r>
      <w:r>
        <w:rPr>
          <w:rFonts w:ascii="Times New Roman;serif" w:hAnsi="Times New Roman;serif"/>
          <w:b w:val="false"/>
          <w:i/>
          <w:color w:val="000000"/>
          <w:sz w:val="20"/>
        </w:rPr>
        <w:t>Other Investments, Equity Method Investments and Equity Investments"</w:t>
      </w:r>
      <w:r>
        <w:rPr>
          <w:color w:val="000000"/>
        </w:rPr>
        <w:t xml:space="preserve"> </w:t>
      </w:r>
      <w:r>
        <w:rPr>
          <w:rFonts w:ascii="Times New Roman;serif" w:hAnsi="Times New Roman;serif"/>
          <w:b w:val="false"/>
          <w:color w:val="000000"/>
          <w:sz w:val="20"/>
        </w:rPr>
        <w:t xml:space="preserve">for further information on these alternative asset classes and a detailed discussion of their investment returns. Recent developments and trends in financial markets, particularly the ongoing volatility in interest rates and the associated economic uncertainty as a result of those and other fiscal and monetary policy changes, indicate that it may take longer than expected to achieve those returns and we expect that to factor into future capital allocation decisions.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Prior to the Combination, Maiden had determined that this asset management strategy did not serve its longer-term strategic goals, which had shifted to a focus on developing or acquiring fee income oriented insurance operations and had ceased making commitments to these alternative asset classes and had begun to dispose of these investments. Subsequent to the Combination, we have continued to pursue this objective and seek to find appropriate opportunities to dispose of these assets and believe this is a high priority in support of focusing our efforts on growing our program services business.</w:t>
      </w:r>
    </w:p>
    <w:p>
      <w:pPr>
        <w:pStyle w:val="TextBody"/>
        <w:bidi w:val="0"/>
        <w:spacing w:lineRule="auto" w:line="240" w:before="0" w:after="120"/>
        <w:ind w:left="0" w:right="0" w:firstLine="27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Accordingly, we expect our alternative investment portfolio to be reduced in future periods as we believe it is critical to reposition our balance sheet and increase our liquidity in support of the current initiatives being pursued. We have not made, and do not expect to make any such additional commitments to alternative investments at this time.</w:t>
      </w:r>
    </w:p>
    <w:p>
      <w:pPr>
        <w:pStyle w:val="TextBody"/>
        <w:bidi w:val="0"/>
        <w:spacing w:lineRule="auto" w:line="240" w:before="0" w:after="120"/>
        <w:ind w:left="0" w:right="0" w:firstLine="270"/>
        <w:jc w:val="both"/>
        <w:rPr/>
      </w:pPr>
      <w:r>
        <w:rPr>
          <w:rFonts w:ascii="Times New Roman;serif" w:hAnsi="Times New Roman;serif"/>
          <w:b w:val="false"/>
          <w:color w:val="000000"/>
          <w:sz w:val="20"/>
          <w:shd w:fill="FFFFFF" w:val="clear"/>
        </w:rPr>
        <w:t xml:space="preserve">While we believe that the Combination with Maiden will increase the likelihood of achieving our stated objectives, there can be no assurance that the run-off of its insurance liabilities will run-off at levels that will allow us to achieve those goals. </w:t>
      </w:r>
      <w:r>
        <w:rPr>
          <w:rFonts w:ascii="Times New Roman;serif" w:hAnsi="Times New Roman;serif"/>
          <w:b w:val="false"/>
          <w:color w:val="000000"/>
          <w:sz w:val="20"/>
        </w:rPr>
        <w:t xml:space="preserve">As a result, we continue to pursue finality solutions to resolve the AmTrust liabilities not covered by the LPT/ADC Agreement, including through third-parties. There can be no guarantee that we will execute such finality solutions and these solutions could involve significant charges to execute and we are actively evaluating the potential costs and benefits of such solutions, to the extent they are available to the Company. </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NOL Carryforwards</w:t>
      </w:r>
    </w:p>
    <w:p>
      <w:pPr>
        <w:pStyle w:val="TextBody"/>
        <w:bidi w:val="0"/>
        <w:spacing w:lineRule="auto" w:line="240" w:before="0" w:after="120"/>
        <w:ind w:left="0" w:right="0" w:firstLine="270"/>
        <w:jc w:val="both"/>
        <w:rPr/>
      </w:pPr>
      <w:r>
        <w:rPr>
          <w:rFonts w:ascii="Times New Roman;serif" w:hAnsi="Times New Roman;serif"/>
          <w:b w:val="false"/>
          <w:color w:val="000000"/>
          <w:sz w:val="20"/>
        </w:rPr>
        <w:t>We believe the Combination and our ability to increease EBITDA will create opportunities to utilize Maiden's NOL carryforwards of</w:t>
      </w:r>
      <w:r>
        <w:rPr>
          <w:color w:val="000000"/>
          <w:shd w:fill="FFFFFF" w:val="clear"/>
        </w:rPr>
        <w:t xml:space="preserve"> </w:t>
      </w:r>
      <w:r>
        <w:rPr>
          <w:rFonts w:ascii="Times New Roman;serif" w:hAnsi="Times New Roman;serif"/>
          <w:b w:val="false"/>
          <w:color w:val="000000"/>
          <w:sz w:val="20"/>
        </w:rPr>
        <w:t>$446.6 million</w:t>
      </w:r>
      <w:r>
        <w:rPr>
          <w:color w:val="000000"/>
          <w:shd w:fill="FFFFFF" w:val="clear"/>
        </w:rPr>
        <w:t xml:space="preserve"> </w:t>
      </w:r>
      <w:r>
        <w:rPr>
          <w:rFonts w:ascii="Times New Roman;serif" w:hAnsi="Times New Roman;serif"/>
          <w:b w:val="false"/>
          <w:color w:val="000000"/>
          <w:sz w:val="20"/>
          <w:shd w:fill="FFFFFF" w:val="clear"/>
        </w:rPr>
        <w:t xml:space="preserve">at September 30, 2025. </w:t>
      </w:r>
      <w:r>
        <w:rPr>
          <w:rFonts w:ascii="Times New Roman;serif" w:hAnsi="Times New Roman;serif"/>
          <w:b w:val="false"/>
          <w:color w:val="000000"/>
          <w:sz w:val="20"/>
        </w:rPr>
        <w:t xml:space="preserve">Approximately $365.3 million of NOL carryforwards expire in various years beginning in 2029. As of </w:t>
      </w:r>
      <w:r>
        <w:rPr>
          <w:rFonts w:ascii="Times New Roman;serif" w:hAnsi="Times New Roman;serif"/>
          <w:b w:val="false"/>
          <w:color w:val="000000"/>
          <w:sz w:val="20"/>
          <w:shd w:fill="FFFFFF" w:val="clear"/>
        </w:rPr>
        <w:t xml:space="preserve">September 30, 2025, </w:t>
      </w:r>
      <w:r>
        <w:rPr>
          <w:rFonts w:ascii="Times New Roman;serif" w:hAnsi="Times New Roman;serif"/>
          <w:b w:val="false"/>
          <w:color w:val="000000"/>
          <w:sz w:val="20"/>
        </w:rPr>
        <w:t>$81.3 million</w:t>
      </w:r>
      <w:r>
        <w:rPr>
          <w:color w:val="000000"/>
          <w:shd w:fill="FFFFFF" w:val="clear"/>
        </w:rPr>
        <w:t xml:space="preserve"> </w:t>
      </w:r>
      <w:r>
        <w:rPr>
          <w:rFonts w:ascii="Times New Roman;serif" w:hAnsi="Times New Roman;serif"/>
          <w:b w:val="false"/>
          <w:color w:val="000000"/>
          <w:sz w:val="20"/>
          <w:shd w:fill="FFFFFF" w:val="clear"/>
        </w:rPr>
        <w:t xml:space="preserve">or </w:t>
      </w:r>
      <w:r>
        <w:rPr>
          <w:rFonts w:ascii="Times New Roman;serif" w:hAnsi="Times New Roman;serif"/>
          <w:b w:val="false"/>
          <w:color w:val="000000"/>
          <w:sz w:val="20"/>
        </w:rPr>
        <w:t xml:space="preserve">18.2% of the Company's NOL carryforwards have no expiry date under the relevant U.S. tax law. </w:t>
      </w:r>
      <w:r>
        <w:rPr>
          <w:rFonts w:ascii="Times New Roman;serif" w:hAnsi="Times New Roman;serif"/>
          <w:b w:val="false"/>
          <w:color w:val="000000"/>
          <w:sz w:val="20"/>
          <w:shd w:fill="FFFFFF" w:val="clear"/>
        </w:rPr>
        <w:t xml:space="preserve">The NOL carryforwards combined with additional net deferred tax assets ("DTA") primarily related to Maiden's insurance liabilities result in net U.S. DTA (before valuation allowance) of </w:t>
      </w:r>
      <w:r>
        <w:rPr>
          <w:rFonts w:ascii="Times New Roman;serif" w:hAnsi="Times New Roman;serif"/>
          <w:b w:val="false"/>
          <w:color w:val="000000"/>
          <w:sz w:val="20"/>
        </w:rPr>
        <w:t>$126.5 million</w:t>
      </w:r>
      <w:r>
        <w:rPr>
          <w:color w:val="000000"/>
          <w:shd w:fill="FFFFFF" w:val="clear"/>
        </w:rPr>
        <w:t xml:space="preserve"> </w:t>
      </w:r>
      <w:r>
        <w:rPr>
          <w:rFonts w:ascii="Times New Roman;serif" w:hAnsi="Times New Roman;serif"/>
          <w:b w:val="false"/>
          <w:color w:val="000000"/>
          <w:sz w:val="20"/>
          <w:shd w:fill="FFFFFF" w:val="clear"/>
        </w:rPr>
        <w:t xml:space="preserve">or $16.34 per common share at September 30, 2025.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Maiden's net U.S. DTA of $126.5 million is not presently recognized on the Company's condensed consolidated balance sheets as a full valuation allowance is carried against it. Additionally, Kestrel's DTA of $7.5 million, which relates to tax basis intangibles, is not presently recognized on the Company's condensed consolidated balance sheets as a full valuation allowance is carried against it. At this time, the Company believes it is necessary to maintain a full valuation allowance against both net DTA balances as more evidence is needed regarding the utilization of these losses. As circumstances further develop, we will continuously evaluate the amount of the valuation allowance held against the net DTA.</w:t>
      </w:r>
    </w:p>
    <w:p>
      <w:pPr>
        <w:pStyle w:val="TextBody"/>
        <w:bidi w:val="0"/>
        <w:spacing w:lineRule="auto" w:line="240" w:before="0" w:after="180"/>
        <w:ind w:left="0" w:right="0" w:firstLine="270"/>
        <w:jc w:val="both"/>
        <w:rPr/>
      </w:pPr>
      <w:r>
        <w:rPr>
          <w:rFonts w:ascii="Times New Roman;serif" w:hAnsi="Times New Roman;serif"/>
          <w:b w:val="false"/>
          <w:color w:val="000000"/>
          <w:sz w:val="20"/>
        </w:rPr>
        <w:t>For further details on the NOL carryforwards, please see "</w:t>
      </w:r>
      <w:r>
        <w:rPr>
          <w:rFonts w:ascii="Times New Roman;serif" w:hAnsi="Times New Roman;serif"/>
          <w:b w:val="false"/>
          <w:i/>
          <w:color w:val="000000"/>
          <w:sz w:val="20"/>
        </w:rPr>
        <w:t>Note 13 — Income Taxes</w:t>
      </w:r>
      <w:r>
        <w:rPr>
          <w:rFonts w:ascii="Times New Roman;serif" w:hAnsi="Times New Roman;serif"/>
          <w:b w:val="false"/>
          <w:color w:val="000000"/>
          <w:sz w:val="20"/>
        </w:rPr>
        <w:t>" included under Part 1 Item 1 "</w:t>
      </w:r>
      <w:r>
        <w:rPr>
          <w:rFonts w:ascii="Times New Roman;serif" w:hAnsi="Times New Roman;serif"/>
          <w:b w:val="false"/>
          <w:i/>
          <w:color w:val="000000"/>
          <w:sz w:val="20"/>
        </w:rPr>
        <w:t>Financial Information</w:t>
      </w:r>
      <w:r>
        <w:rPr>
          <w:rFonts w:ascii="Times New Roman;serif" w:hAnsi="Times New Roman;serif"/>
          <w:b w:val="false"/>
          <w:color w:val="000000"/>
          <w:sz w:val="20"/>
        </w:rPr>
        <w:t>" of the Quarterly Report on Form 10–Q for the nine months ended September 30, 2025.</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Three and Nine Months Ended September 30, 2025 and 2024 Financial Highlights</w:t>
      </w:r>
    </w:p>
    <w:tbl>
      <w:tblPr>
        <w:tblW w:w="10205" w:type="dxa"/>
        <w:jc w:val="left"/>
        <w:tblInd w:w="0" w:type="dxa"/>
        <w:tblLayout w:type="fixed"/>
        <w:tblCellMar>
          <w:top w:w="28" w:type="dxa"/>
          <w:left w:w="28" w:type="dxa"/>
          <w:bottom w:w="28" w:type="dxa"/>
          <w:right w:w="28" w:type="dxa"/>
        </w:tblCellMar>
      </w:tblPr>
      <w:tblGrid>
        <w:gridCol w:w="2098"/>
        <w:gridCol w:w="1828"/>
        <w:gridCol w:w="1839"/>
        <w:gridCol w:w="109"/>
        <w:gridCol w:w="109"/>
        <w:gridCol w:w="109"/>
        <w:gridCol w:w="211"/>
        <w:gridCol w:w="721"/>
        <w:gridCol w:w="271"/>
        <w:gridCol w:w="109"/>
        <w:gridCol w:w="109"/>
        <w:gridCol w:w="109"/>
        <w:gridCol w:w="211"/>
        <w:gridCol w:w="686"/>
        <w:gridCol w:w="271"/>
        <w:gridCol w:w="109"/>
        <w:gridCol w:w="109"/>
        <w:gridCol w:w="109"/>
        <w:gridCol w:w="211"/>
        <w:gridCol w:w="721"/>
        <w:gridCol w:w="156"/>
      </w:tblGrid>
      <w:tr>
        <w:trPr/>
        <w:tc>
          <w:tcPr>
            <w:tcW w:w="2098"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5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Summary Consolidated Statement of Income Data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 except per share data)</w:t>
            </w:r>
          </w:p>
        </w:tc>
      </w:tr>
      <w:tr>
        <w:trPr/>
        <w:tc>
          <w:tcPr>
            <w:tcW w:w="5765"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w:t>
            </w:r>
          </w:p>
        </w:tc>
        <w:tc>
          <w:tcPr>
            <w:tcW w:w="15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w:t>
            </w:r>
          </w:p>
        </w:tc>
        <w:tc>
          <w:tcPr>
            <w:tcW w:w="15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Basic and diluted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attributable to common shareholders</w:t>
            </w:r>
            <w:r>
              <w:rPr>
                <w:rFonts w:ascii="Times New Roman;serif" w:hAnsi="Times New Roman;serif"/>
                <w:b w:val="false"/>
                <w:color w:val="000000"/>
                <w:sz w:val="13"/>
              </w:rPr>
              <w:t>(2)</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w:t>
            </w:r>
          </w:p>
        </w:tc>
        <w:tc>
          <w:tcPr>
            <w:tcW w:w="15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6,836 </w:t>
            </w:r>
          </w:p>
        </w:tc>
        <w:tc>
          <w:tcPr>
            <w:tcW w:w="15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Underwriting and fee (loss) income</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investment results</w:t>
            </w:r>
            <w:r>
              <w:rPr>
                <w:rFonts w:ascii="Times New Roman;serif" w:hAnsi="Times New Roman;serif"/>
                <w:b w:val="false"/>
                <w:color w:val="000000"/>
                <w:sz w:val="13"/>
              </w:rPr>
              <w:t>(9)</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8,964 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8,912 </w:t>
            </w:r>
          </w:p>
        </w:tc>
        <w:tc>
          <w:tcPr>
            <w:tcW w:w="15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Non-GAAP measures: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operating loss</w:t>
            </w:r>
            <w:r>
              <w:rPr>
                <w:rFonts w:ascii="Times New Roman;serif" w:hAnsi="Times New Roman;serif"/>
                <w:b w:val="false"/>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(15,091)</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(14,662)</w:t>
            </w:r>
          </w:p>
        </w:tc>
        <w:tc>
          <w:tcPr>
            <w:tcW w:w="15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basic and diluted operating loss per common share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Annualized non-GAAP operating return on average shareholders' equity</w:t>
            </w:r>
            <w:r>
              <w:rPr>
                <w:rFonts w:ascii="Times New Roman;serif" w:hAnsi="Times New Roman;serif"/>
                <w:b w:val="false"/>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27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27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Nine Months Ended September 30,</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bottom w:val="sing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57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Summary Consolidated Statement of Income Data (unaudited):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 except per share data)</w:t>
            </w:r>
          </w:p>
        </w:tc>
      </w:tr>
      <w:tr>
        <w:trPr/>
        <w:tc>
          <w:tcPr>
            <w:tcW w:w="5765"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65,940 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67,293 </w:t>
            </w:r>
          </w:p>
        </w:tc>
        <w:tc>
          <w:tcPr>
            <w:tcW w:w="15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64,480 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65,833 </w:t>
            </w:r>
          </w:p>
        </w:tc>
        <w:tc>
          <w:tcPr>
            <w:tcW w:w="15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Basic and diluted earnings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 (loss) attributable to Kestrel common shareholders</w:t>
            </w:r>
            <w:r>
              <w:rPr>
                <w:rFonts w:ascii="Times New Roman;serif" w:hAnsi="Times New Roman;serif"/>
                <w:b w:val="false"/>
                <w:color w:val="000000"/>
                <w:sz w:val="13"/>
              </w:rPr>
              <w:t>(2)</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5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9,258 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9,258 </w:t>
            </w:r>
          </w:p>
        </w:tc>
        <w:tc>
          <w:tcPr>
            <w:tcW w:w="15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Underwriting and fee (loss) income</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investment results</w:t>
            </w:r>
            <w:r>
              <w:rPr>
                <w:rFonts w:ascii="Times New Roman;serif" w:hAnsi="Times New Roman;serif"/>
                <w:b w:val="false"/>
                <w:color w:val="000000"/>
                <w:sz w:val="13"/>
              </w:rPr>
              <w:t>(9)</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11,587 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11,417 </w:t>
            </w:r>
          </w:p>
        </w:tc>
        <w:tc>
          <w:tcPr>
            <w:tcW w:w="15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Non-GAAP measures: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operating loss</w:t>
            </w:r>
            <w:r>
              <w:rPr>
                <w:rFonts w:ascii="Times New Roman;serif" w:hAnsi="Times New Roman;serif"/>
                <w:b w:val="false"/>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(12,023)</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(10,670)</w:t>
            </w:r>
          </w:p>
        </w:tc>
        <w:tc>
          <w:tcPr>
            <w:tcW w:w="15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Non-GAAP basic and diluted operating loss per common share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765"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Annualized non-GAAP operating return on average shareholders' equity</w:t>
            </w:r>
            <w:r>
              <w:rPr>
                <w:rFonts w:ascii="Times New Roman;serif" w:hAnsi="Times New Roman;serif"/>
                <w:b w:val="false"/>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27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27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tbl>
      <w:tblPr>
        <w:tblW w:w="9446" w:type="dxa"/>
        <w:jc w:val="left"/>
        <w:tblInd w:w="0" w:type="dxa"/>
        <w:tblLayout w:type="fixed"/>
        <w:tblCellMar>
          <w:top w:w="28" w:type="dxa"/>
          <w:left w:w="28" w:type="dxa"/>
          <w:bottom w:w="28" w:type="dxa"/>
          <w:right w:w="28" w:type="dxa"/>
        </w:tblCellMar>
      </w:tblPr>
      <w:tblGrid>
        <w:gridCol w:w="1532"/>
        <w:gridCol w:w="1347"/>
        <w:gridCol w:w="1350"/>
        <w:gridCol w:w="109"/>
        <w:gridCol w:w="109"/>
        <w:gridCol w:w="109"/>
        <w:gridCol w:w="249"/>
        <w:gridCol w:w="976"/>
        <w:gridCol w:w="320"/>
        <w:gridCol w:w="109"/>
        <w:gridCol w:w="109"/>
        <w:gridCol w:w="109"/>
        <w:gridCol w:w="288"/>
        <w:gridCol w:w="842"/>
        <w:gridCol w:w="370"/>
        <w:gridCol w:w="109"/>
        <w:gridCol w:w="109"/>
        <w:gridCol w:w="109"/>
        <w:gridCol w:w="211"/>
        <w:gridCol w:w="826"/>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Consolidated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 except per share data)</w:t>
            </w:r>
          </w:p>
        </w:tc>
      </w:tr>
      <w:tr>
        <w:trPr/>
        <w:tc>
          <w:tcPr>
            <w:tcW w:w="422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investments and cash and cash equivalents</w:t>
            </w:r>
            <w:r>
              <w:rPr>
                <w:rFonts w:ascii="Times New Roman;serif" w:hAnsi="Times New Roman;serif"/>
                <w:b w:val="false"/>
                <w:color w:val="000000"/>
                <w:sz w:val="13"/>
              </w:rPr>
              <w:t>(4)</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454,841 </w:t>
            </w:r>
          </w:p>
        </w:tc>
        <w:tc>
          <w:tcPr>
            <w:tcW w:w="32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37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450,555 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1,130,440 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677,667 </w:t>
            </w:r>
          </w:p>
        </w:tc>
        <w:tc>
          <w:tcPr>
            <w:tcW w:w="32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677,667 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 principal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shareholders' equity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143,774 </w:t>
            </w:r>
          </w:p>
        </w:tc>
        <w:tc>
          <w:tcPr>
            <w:tcW w:w="32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37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139,168 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capital resources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406,135 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Ratio of debt to total capital resources</w:t>
            </w:r>
            <w:r>
              <w:rPr>
                <w:rFonts w:ascii="Times New Roman;serif" w:hAnsi="Times New Roman;serif"/>
                <w:b w:val="false"/>
                <w:color w:val="000000"/>
                <w:sz w:val="13"/>
              </w:rPr>
              <w:t>(8)</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320"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Book Value calculations: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Book value per common share</w:t>
            </w:r>
            <w:r>
              <w:rPr>
                <w:rFonts w:ascii="Times New Roman;serif" w:hAnsi="Times New Roman;serif"/>
                <w:b w:val="false"/>
                <w:color w:val="000000"/>
                <w:sz w:val="13"/>
              </w:rPr>
              <w:t>(6)</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32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7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Diluted book value per common share</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60"/>
        <w:jc w:val="left"/>
        <w:rPr/>
      </w:pPr>
      <w:r>
        <w:rPr/>
      </w:r>
    </w:p>
    <w:p>
      <w:pPr>
        <w:pStyle w:val="TextBody"/>
        <w:bidi w:val="0"/>
        <w:spacing w:lineRule="auto" w:line="240" w:before="0" w:after="60"/>
        <w:ind w:left="0" w:right="0" w:hanging="360"/>
        <w:jc w:val="both"/>
        <w:rPr/>
      </w:pPr>
      <w:r>
        <w:rPr>
          <w:rFonts w:ascii="Times New Roman;serif" w:hAnsi="Times New Roman;serif"/>
          <w:b w:val="false"/>
          <w:color w:val="000000"/>
          <w:sz w:val="16"/>
        </w:rPr>
        <w:t>(1)Non-GAAP operating earnings (loss), non-GAAP operating earnings (loss) per common share, and annualized non-GAAP operating return on average common shareholders' equity are non-GAAP financial measures. See "</w:t>
      </w:r>
      <w:r>
        <w:rPr>
          <w:rFonts w:ascii="Times New Roman;serif" w:hAnsi="Times New Roman;serif"/>
          <w:b w:val="false"/>
          <w:i/>
          <w:color w:val="000000"/>
          <w:sz w:val="16"/>
        </w:rPr>
        <w:t>Key Financial Measures</w:t>
      </w:r>
      <w:r>
        <w:rPr>
          <w:rFonts w:ascii="Times New Roman;serif" w:hAnsi="Times New Roman;serif"/>
          <w:b w:val="false"/>
          <w:color w:val="000000"/>
          <w:sz w:val="16"/>
        </w:rPr>
        <w:t xml:space="preserve">" for additional information. </w:t>
      </w:r>
    </w:p>
    <w:p>
      <w:pPr>
        <w:pStyle w:val="TextBody"/>
        <w:bidi w:val="0"/>
        <w:spacing w:lineRule="auto" w:line="240" w:before="0" w:after="60"/>
        <w:ind w:left="0" w:right="0" w:hanging="360"/>
        <w:jc w:val="both"/>
        <w:rPr/>
      </w:pPr>
      <w:r>
        <w:rPr>
          <w:rFonts w:ascii="Times New Roman;serif" w:hAnsi="Times New Roman;serif"/>
          <w:b w:val="false"/>
          <w:color w:val="000000"/>
          <w:sz w:val="16"/>
        </w:rPr>
        <w:t>(2)Please refer to "</w:t>
      </w:r>
      <w:r>
        <w:rPr>
          <w:rFonts w:ascii="Times New Roman;serif" w:hAnsi="Times New Roman;serif"/>
          <w:b w:val="false"/>
          <w:i/>
          <w:color w:val="000000"/>
          <w:sz w:val="16"/>
        </w:rPr>
        <w:t>Notes to Condensed Consolidated Financial Statements (unaudited) Note 12. Earnings per Common Share</w:t>
      </w:r>
      <w:r>
        <w:rPr>
          <w:rFonts w:ascii="Times New Roman;serif" w:hAnsi="Times New Roman;serif"/>
          <w:b w:val="false"/>
          <w:color w:val="000000"/>
          <w:sz w:val="16"/>
        </w:rPr>
        <w:t>" for the calculation of basic and diluted income (loss) per common share.</w:t>
      </w:r>
    </w:p>
    <w:p>
      <w:pPr>
        <w:pStyle w:val="TextBody"/>
        <w:bidi w:val="0"/>
        <w:spacing w:lineRule="auto" w:line="240" w:before="0" w:after="60"/>
        <w:ind w:left="0" w:right="0" w:hanging="360"/>
        <w:jc w:val="both"/>
        <w:rPr/>
      </w:pPr>
      <w:r>
        <w:rPr>
          <w:rFonts w:ascii="Times New Roman;serif" w:hAnsi="Times New Roman;serif"/>
          <w:b w:val="false"/>
          <w:color w:val="000000"/>
          <w:sz w:val="16"/>
        </w:rPr>
        <w:t>(3)Underwriting and fee income or loss is a non-GAAP measure and is calculated as net premiums earned plus fee revenue less net loss and LAE, commission and other acquisition expenses and general and administrative expenses directly related to underwriting activities. See "</w:t>
      </w:r>
      <w:r>
        <w:rPr>
          <w:rFonts w:ascii="Times New Roman;serif" w:hAnsi="Times New Roman;serif"/>
          <w:b w:val="false"/>
          <w:i/>
          <w:color w:val="000000"/>
          <w:sz w:val="16"/>
        </w:rPr>
        <w:t>Key Financial Measures</w:t>
      </w:r>
      <w:r>
        <w:rPr>
          <w:rFonts w:ascii="Times New Roman;serif" w:hAnsi="Times New Roman;serif"/>
          <w:b w:val="false"/>
          <w:color w:val="000000"/>
          <w:sz w:val="16"/>
        </w:rPr>
        <w:t>" for additional information.</w:t>
      </w:r>
    </w:p>
    <w:p>
      <w:pPr>
        <w:pStyle w:val="TextBody"/>
        <w:bidi w:val="0"/>
        <w:spacing w:lineRule="auto" w:line="240"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(4)Total investments and cash and cash equivalents includes both restricted and unrestricted amounts of these assets.</w:t>
      </w:r>
    </w:p>
    <w:p>
      <w:pPr>
        <w:pStyle w:val="TextBody"/>
        <w:bidi w:val="0"/>
        <w:spacing w:lineRule="auto" w:line="240" w:before="0" w:after="60"/>
        <w:ind w:left="0" w:right="0" w:hanging="360"/>
        <w:jc w:val="both"/>
        <w:rPr/>
      </w:pPr>
      <w:r>
        <w:rPr>
          <w:rFonts w:ascii="Times New Roman;serif" w:hAnsi="Times New Roman;serif"/>
          <w:b w:val="false"/>
          <w:color w:val="000000"/>
          <w:sz w:val="16"/>
        </w:rPr>
        <w:t>(5)Total capital resources is the sum of the Company's principal amount of debt and shareholders' equity. See "</w:t>
      </w:r>
      <w:r>
        <w:rPr>
          <w:rFonts w:ascii="Times New Roman;serif" w:hAnsi="Times New Roman;serif"/>
          <w:b w:val="false"/>
          <w:i/>
          <w:color w:val="000000"/>
          <w:sz w:val="16"/>
        </w:rPr>
        <w:t>Key Financial Measures</w:t>
      </w:r>
      <w:r>
        <w:rPr>
          <w:rFonts w:ascii="Times New Roman;serif" w:hAnsi="Times New Roman;serif"/>
          <w:b w:val="false"/>
          <w:color w:val="000000"/>
          <w:sz w:val="16"/>
        </w:rPr>
        <w:t>" for additional information.</w:t>
      </w:r>
    </w:p>
    <w:p>
      <w:pPr>
        <w:pStyle w:val="TextBody"/>
        <w:bidi w:val="0"/>
        <w:spacing w:lineRule="auto" w:line="240" w:before="0" w:after="60"/>
        <w:ind w:left="0" w:right="0" w:hanging="360"/>
        <w:jc w:val="both"/>
        <w:rPr/>
      </w:pPr>
      <w:r>
        <w:rPr>
          <w:rFonts w:ascii="Times New Roman;serif" w:hAnsi="Times New Roman;serif"/>
          <w:b w:val="false"/>
          <w:color w:val="000000"/>
          <w:sz w:val="16"/>
        </w:rPr>
        <w:t>(6)Book value per common share is calculated using shareholders’ equity divided by the number of common shares outstanding. See "</w:t>
      </w:r>
      <w:r>
        <w:rPr>
          <w:rFonts w:ascii="Times New Roman;serif" w:hAnsi="Times New Roman;serif"/>
          <w:b w:val="false"/>
          <w:i/>
          <w:color w:val="000000"/>
          <w:sz w:val="16"/>
        </w:rPr>
        <w:t>Key Financial Measures</w:t>
      </w:r>
      <w:r>
        <w:rPr>
          <w:rFonts w:ascii="Times New Roman;serif" w:hAnsi="Times New Roman;serif"/>
          <w:b w:val="false"/>
          <w:color w:val="000000"/>
          <w:sz w:val="16"/>
        </w:rPr>
        <w:t>" for additional information.</w:t>
      </w:r>
    </w:p>
    <w:p>
      <w:pPr>
        <w:pStyle w:val="TextBody"/>
        <w:bidi w:val="0"/>
        <w:spacing w:lineRule="auto" w:line="240" w:before="0" w:after="60"/>
        <w:ind w:left="0" w:right="0" w:hanging="360"/>
        <w:jc w:val="both"/>
        <w:rPr/>
      </w:pPr>
      <w:r>
        <w:rPr>
          <w:rFonts w:ascii="Times New Roman;serif" w:hAnsi="Times New Roman;serif"/>
          <w:b w:val="false"/>
          <w:color w:val="000000"/>
          <w:sz w:val="16"/>
        </w:rPr>
        <w:t>(7)Diluted book value per common share is calculated by dividing shareholders' equity, adjusted for assumed proceeds from the exercise of dilutive options, by the number of outstanding common shares plus dilutive options and restricted shares (assuming exercise of all dilutive share based awards). See "</w:t>
      </w:r>
      <w:r>
        <w:rPr>
          <w:rFonts w:ascii="Times New Roman;serif" w:hAnsi="Times New Roman;serif"/>
          <w:b w:val="false"/>
          <w:i/>
          <w:color w:val="000000"/>
          <w:sz w:val="16"/>
        </w:rPr>
        <w:t>Key Financial Measures</w:t>
      </w:r>
      <w:r>
        <w:rPr>
          <w:rFonts w:ascii="Times New Roman;serif" w:hAnsi="Times New Roman;serif"/>
          <w:b w:val="false"/>
          <w:color w:val="000000"/>
          <w:sz w:val="16"/>
        </w:rPr>
        <w:t>" for additional information.</w:t>
      </w:r>
    </w:p>
    <w:p>
      <w:pPr>
        <w:pStyle w:val="TextBody"/>
        <w:bidi w:val="0"/>
        <w:spacing w:lineRule="auto" w:line="240"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(8)Ratio of debt to total capital resources is calculated using the total principal amount of debt divided by the sum of total capital resources.</w:t>
      </w:r>
    </w:p>
    <w:p>
      <w:pPr>
        <w:pStyle w:val="TextBody"/>
        <w:bidi w:val="0"/>
        <w:spacing w:lineRule="auto" w:line="240"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(9)Net investment results include the sum of net investment income, net realized and unrealized gains (losses), and interest in income (loss) of equity method investments.</w:t>
      </w:r>
    </w:p>
    <w:p>
      <w:pPr>
        <w:pStyle w:val="TextBody"/>
        <w:bidi w:val="0"/>
        <w:spacing w:before="0" w:after="60"/>
        <w:jc w:val="both"/>
        <w:rPr/>
      </w:pPr>
      <w:r>
        <w:rPr/>
      </w:r>
    </w:p>
    <w:p>
      <w:pPr>
        <w:pStyle w:val="TextBody"/>
        <w:bidi w:val="0"/>
        <w:spacing w:before="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 xml:space="preserve">Key Financial Measures </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In addition to our key financial measures presented in accordance with GAAP in the Condensed Consolidated Balance Sheets and Condensed Consolidated Statements of Income and Comprehensive Income, management uses certain non-GAAP financial measures to evaluate the Company's financial performance and the overall growth in value generated for the Company’s common shareholders. Management believes that these measures, which may be defined differently by other companies, explain the Company’s results to investors in a manner that allows for a more complete understanding of the underlying trends in the Company’s business. The non-GAAP measures should not be viewed as a substitute for those determined in accordance with U.S. GAAP. The calculation of these key financial measures including the reconciliation of non-GAAP measures to the nearest GAAP measure and relevant discussions are found within </w:t>
      </w:r>
      <w:r>
        <w:rPr>
          <w:rFonts w:ascii="Times New Roman;serif" w:hAnsi="Times New Roman;serif"/>
          <w:b w:val="false"/>
          <w:i/>
          <w:color w:val="000000"/>
          <w:sz w:val="20"/>
        </w:rPr>
        <w:t xml:space="preserve">Item 2 - "Management's Discussion and Analysis of Financial Condition - Results of Operations and Non-GAAP Measures" </w:t>
      </w:r>
      <w:r>
        <w:rPr>
          <w:rFonts w:ascii="Times New Roman;serif" w:hAnsi="Times New Roman;serif"/>
          <w:b w:val="false"/>
          <w:color w:val="000000"/>
          <w:sz w:val="20"/>
        </w:rPr>
        <w:t xml:space="preserve">and are summarized as follows: </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Non-GAAP operating earnings (loss) and non-GAAP diluted operating earnings (loss) per common share</w:t>
      </w:r>
      <w:r>
        <w:rPr>
          <w:rFonts w:ascii="Times New Roman;serif" w:hAnsi="Times New Roman;serif"/>
          <w:b w:val="false"/>
          <w:color w:val="000000"/>
          <w:sz w:val="20"/>
        </w:rPr>
        <w:t xml:space="preserve">: Management believes that the use of non-GAAP operating earnings and non-GAAP diluted operating earnings per common share enables investors and other users of the Company’s financial information to analyze its performance in a manner similar to how management analyzes performance. Management also believes that these measures generally follow industry practice therefore allowing the users of financial information to compare the Company’s performance with its industry peer group, and that the equity analysts and certain rating agencies which follow the Company, and the insurance industry as a whole, generally exclude these items from their analyses for the same reasons. Non-GAAP operating earnings should not be viewed as a substitute for U.S. GAAP net income.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Non-GAAP operating earnings (loss) is an internal performance measure used by management as these measures focus on the underlying fundamentals of the Company's operations by excluding, on a recurring basis: (1) net realized investment gains (losses); (2) foreign exchange and other gains (losses); and (3) interest in income (loss) of equity method investments. It also excludes on a non-recurring basis: (1) loss from discontinued operations, net of income tax and; (2) the bargain purchase gain resulting from the Combination Agreement, and (3) the change in the fair value of the earn out liability. We excluded net realized investment gains (losses), interest in income (loss) of equity method investments and foreign exchange and other gains (losses) as we believe these are influenced by market opportunities and other factors. We do not believe the net loss from our discontinued operations, the bargain purchase gain on the Combination Agreement, and the change in fair value of the earn out liability are representative of our ongoing and future business.We believe all of these amounts are substantially independent of our business and any potential future underwriting process, therefore their inclusion would distort the analysis of underlying trends in our operations. </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Underwriting and fee income</w:t>
      </w:r>
      <w:r>
        <w:rPr>
          <w:color w:val="000000"/>
        </w:rPr>
        <w:t xml:space="preserve"> </w:t>
      </w:r>
      <w:r>
        <w:rPr>
          <w:rFonts w:ascii="Times New Roman;serif" w:hAnsi="Times New Roman;serif"/>
          <w:b w:val="false"/>
          <w:color w:val="000000"/>
          <w:sz w:val="20"/>
        </w:rPr>
        <w:t>is a non-GAAP measure and is calculated as net premiums earned plus other insurance revenue less net loss and LAE, commission and other acquisition expenses and general and administrative expenses directly related to underwriting activities. For purposes of these non-GAAP operating measures, the fee-generating business which is included in our Program Services segment, is considered part of the underwriting operations of the Company. Management believes that this measure is important in evaluating the underwriting performance of the Company and its segments. This measure is also a useful tool to measure the profitability of the Company separately from the investment results and is also a widely used performance indicator in the insurance industry. A reconciliation of the Company's underwriting results can be found in the Condensed Consolidated Financial Statements in the "</w:t>
      </w:r>
      <w:r>
        <w:rPr>
          <w:rFonts w:ascii="Times New Roman;serif" w:hAnsi="Times New Roman;serif"/>
          <w:b w:val="false"/>
          <w:i/>
          <w:color w:val="000000"/>
          <w:sz w:val="20"/>
        </w:rPr>
        <w:t>Notes to Condensed Consolidated Financial Statements (unaudited) Note 3. Segment Information</w:t>
      </w:r>
      <w:r>
        <w:rPr>
          <w:rFonts w:ascii="Times New Roman;serif" w:hAnsi="Times New Roman;serif"/>
          <w:b w:val="false"/>
          <w:color w:val="000000"/>
          <w:sz w:val="20"/>
        </w:rPr>
        <w:t xml:space="preserve">" under </w:t>
      </w:r>
      <w:r>
        <w:rPr>
          <w:rFonts w:ascii="Times New Roman;serif" w:hAnsi="Times New Roman;serif"/>
          <w:b w:val="false"/>
          <w:i/>
          <w:color w:val="000000"/>
          <w:sz w:val="20"/>
        </w:rPr>
        <w:t>Item 1. "Financial Statements"</w:t>
      </w:r>
      <w:r>
        <w:rPr>
          <w:color w:val="000000"/>
        </w:rPr>
        <w:t> </w:t>
      </w:r>
      <w:r>
        <w:rPr>
          <w:rFonts w:ascii="Times New Roman;serif" w:hAnsi="Times New Roman;serif"/>
          <w:b w:val="false"/>
          <w:color w:val="000000"/>
          <w:sz w:val="20"/>
        </w:rPr>
        <w:t>of this Quarterly Report on Form 10-Q.</w:t>
      </w:r>
    </w:p>
    <w:p>
      <w:pPr>
        <w:pStyle w:val="TextBody"/>
        <w:bidi w:val="0"/>
        <w:spacing w:lineRule="auto" w:line="240" w:before="0" w:after="12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Company does not present certain non-GAAP measures such as combined ratio and its related components in this Quarterly Report on Form 10-Q for the three and nine months ended September 30, 2025, as it believes that as the run-off of our reinsurance portfolios progresses, such ratios are increasingly not meaningful and of little value to readers as they evaluate the financial results of the Company. While an important metric of success, underwriting and fee income does not reflect all components of profitability, as it does not recognize the impact of investment income earned on premiums between the time premiums are received and the time loss payments are ultimately paid to clients. Because we do not manage our cash and investments by segment, investment income and interest expense are not allocated to the reportable segments. Certain general and administrative expenses are generally allocated to segments based on actual costs incurred.</w:t>
      </w:r>
    </w:p>
    <w:p>
      <w:pPr>
        <w:pStyle w:val="TextBody"/>
        <w:bidi w:val="0"/>
        <w:spacing w:lineRule="auto" w:line="240" w:before="0" w:after="120"/>
        <w:jc w:val="both"/>
        <w:rPr/>
      </w:pPr>
      <w:r>
        <w:rPr>
          <w:rFonts w:ascii="Times New Roman;serif" w:hAnsi="Times New Roman;serif"/>
          <w:b w:val="false"/>
          <w:i/>
          <w:color w:val="000000"/>
          <w:sz w:val="20"/>
        </w:rPr>
        <w:t xml:space="preserve">Non-GAAP Operating Return on Average Shareholders' Equity ("Non-GAAP Operating ROACE"): </w:t>
      </w:r>
      <w:r>
        <w:rPr>
          <w:rFonts w:ascii="Times New Roman;serif" w:hAnsi="Times New Roman;serif"/>
          <w:b w:val="false"/>
          <w:color w:val="000000"/>
          <w:sz w:val="20"/>
        </w:rPr>
        <w:t>Management uses non-GAAP operating return on average shareholders' equity as a measure of profitability that focuses on the return to common shareholders. It is calculated using non-GAAP operating earnings (loss) available to common shareholders (as defined above) divided by average shareholders' equity.</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 xml:space="preserve">Book Value per Common Share and Diluted Book Value per Common Share: </w:t>
      </w:r>
      <w:r>
        <w:rPr>
          <w:rFonts w:ascii="Times New Roman;serif" w:hAnsi="Times New Roman;serif"/>
          <w:b w:val="false"/>
          <w:color w:val="000000"/>
          <w:sz w:val="20"/>
        </w:rPr>
        <w:t xml:space="preserve">Book value per common share and diluted book value per common share are non-GAAP measures. Management uses growth in both of these metrics as a prime measure of the value we are generating for our common shareholders, because management believes that growth in each metric ultimately results in growth in the Company’s common share price. These metrics are impacted by the Company’s net income and external factors, such as interest rates, which can drive changes in unrealized gains or losses on our fixed income investment portfolio, as well as common share repurchases. </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 xml:space="preserve">Ratio of Debt to Total Capital Resources: </w:t>
      </w:r>
      <w:r>
        <w:rPr>
          <w:rFonts w:ascii="Times New Roman;serif" w:hAnsi="Times New Roman;serif"/>
          <w:b w:val="false"/>
          <w:color w:val="000000"/>
          <w:sz w:val="20"/>
        </w:rPr>
        <w:t>Management uses this non-GAAP measure to monitor the financial leverage of the Company. This measure is calculated using the total principal amount of debt divided by the sum of total capital resources.</w:t>
      </w:r>
    </w:p>
    <w:p>
      <w:pPr>
        <w:pStyle w:val="TextBody"/>
        <w:bidi w:val="0"/>
        <w:spacing w:lineRule="auto" w:line="240" w:before="0" w:after="120"/>
        <w:ind w:left="0" w:right="0" w:firstLine="270"/>
        <w:jc w:val="both"/>
        <w:rPr/>
      </w:pPr>
      <w:r>
        <w:rPr>
          <w:rFonts w:ascii="Times New Roman;serif" w:hAnsi="Times New Roman;serif"/>
          <w:b w:val="false"/>
          <w:i/>
          <w:color w:val="000000"/>
          <w:sz w:val="20"/>
        </w:rPr>
        <w:t>Alternative investments</w:t>
      </w:r>
      <w:r>
        <w:rPr>
          <w:color w:val="000000"/>
        </w:rPr>
        <w:t xml:space="preserve"> </w:t>
      </w:r>
      <w:r>
        <w:rPr>
          <w:rFonts w:ascii="Times New Roman;serif" w:hAnsi="Times New Roman;serif"/>
          <w:b w:val="false"/>
          <w:color w:val="000000"/>
          <w:sz w:val="20"/>
        </w:rPr>
        <w:t>is the total of the Company's holdings of equity securities, other investments and equity method investments as reported on the Company's Condensed Consolidated Balance Sheets.</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40" w:before="0" w:after="120"/>
        <w:ind w:left="0" w:right="0" w:firstLine="270"/>
        <w:jc w:val="both"/>
        <w:rPr/>
      </w:pPr>
      <w:r>
        <w:rPr>
          <w:rFonts w:ascii="Times New Roman;serif" w:hAnsi="Times New Roman;serif"/>
          <w:b w:val="false"/>
          <w:color w:val="000000"/>
          <w:sz w:val="20"/>
        </w:rPr>
        <w:t>The critical accounting policies and estimates should be read in conjunction with "</w:t>
      </w:r>
      <w:r>
        <w:rPr>
          <w:rFonts w:ascii="Times New Roman;serif" w:hAnsi="Times New Roman;serif"/>
          <w:b w:val="false"/>
          <w:i/>
          <w:color w:val="000000"/>
          <w:sz w:val="20"/>
        </w:rPr>
        <w:t>Part I, Item 1 - Notes to Condensed Consolidated Financial Statements (unaudited) Note 2. Significant Accounting Policies</w:t>
      </w:r>
      <w:r>
        <w:rPr>
          <w:rFonts w:ascii="Times New Roman;serif" w:hAnsi="Times New Roman;serif"/>
          <w:b w:val="false"/>
          <w:color w:val="000000"/>
          <w:sz w:val="20"/>
        </w:rPr>
        <w:t>" included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40" w:before="200" w:after="12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selected unaudited Condensed Consolidated Statement of Income data for the three and nine months ended September 30, 2025 and 2024:</w:t>
      </w:r>
    </w:p>
    <w:tbl>
      <w:tblPr>
        <w:tblW w:w="10205" w:type="dxa"/>
        <w:jc w:val="center"/>
        <w:tblInd w:w="0" w:type="dxa"/>
        <w:tblLayout w:type="fixed"/>
        <w:tblCellMar>
          <w:top w:w="28" w:type="dxa"/>
          <w:left w:w="28" w:type="dxa"/>
          <w:bottom w:w="28" w:type="dxa"/>
          <w:right w:w="28" w:type="dxa"/>
        </w:tblCellMar>
      </w:tblPr>
      <w:tblGrid>
        <w:gridCol w:w="1364"/>
        <w:gridCol w:w="1110"/>
        <w:gridCol w:w="1114"/>
        <w:gridCol w:w="109"/>
        <w:gridCol w:w="109"/>
        <w:gridCol w:w="109"/>
        <w:gridCol w:w="286"/>
        <w:gridCol w:w="924"/>
        <w:gridCol w:w="148"/>
        <w:gridCol w:w="148"/>
        <w:gridCol w:w="148"/>
        <w:gridCol w:w="148"/>
        <w:gridCol w:w="286"/>
        <w:gridCol w:w="720"/>
        <w:gridCol w:w="148"/>
        <w:gridCol w:w="109"/>
        <w:gridCol w:w="109"/>
        <w:gridCol w:w="109"/>
        <w:gridCol w:w="262"/>
        <w:gridCol w:w="897"/>
        <w:gridCol w:w="135"/>
        <w:gridCol w:w="135"/>
        <w:gridCol w:w="135"/>
        <w:gridCol w:w="135"/>
        <w:gridCol w:w="262"/>
        <w:gridCol w:w="844"/>
        <w:gridCol w:w="202"/>
      </w:tblGrid>
      <w:tr>
        <w:trPr/>
        <w:tc>
          <w:tcPr>
            <w:tcW w:w="136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3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58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3,760 </w:t>
            </w:r>
          </w:p>
        </w:tc>
        <w:tc>
          <w:tcPr>
            <w:tcW w:w="14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4,856 </w:t>
            </w:r>
          </w:p>
        </w:tc>
        <w:tc>
          <w:tcPr>
            <w:tcW w:w="13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3,895 </w:t>
            </w:r>
          </w:p>
        </w:tc>
        <w:tc>
          <w:tcPr>
            <w:tcW w:w="14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35"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6,836 </w:t>
            </w:r>
          </w:p>
        </w:tc>
        <w:tc>
          <w:tcPr>
            <w:tcW w:w="14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9,258 </w:t>
            </w:r>
          </w:p>
        </w:tc>
        <w:tc>
          <w:tcPr>
            <w:tcW w:w="13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(10,406)</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w:t>
            </w:r>
          </w:p>
        </w:tc>
        <w:tc>
          <w:tcPr>
            <w:tcW w:w="13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General and administrative expenses</w:t>
            </w:r>
            <w:r>
              <w:rPr>
                <w:rFonts w:ascii="Times New Roman;serif" w:hAnsi="Times New Roman;serif"/>
                <w:b w:val="false"/>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(7,435)</w:t>
            </w:r>
          </w:p>
        </w:tc>
        <w:tc>
          <w:tcPr>
            <w:tcW w:w="13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w:t>
            </w:r>
          </w:p>
        </w:tc>
        <w:tc>
          <w:tcPr>
            <w:tcW w:w="20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Underwriting &amp; fee (loss) income</w:t>
            </w:r>
            <w:r>
              <w:rPr>
                <w:rFonts w:ascii="Times New Roman;serif" w:hAnsi="Times New Roman;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Other general and administrative expenses</w:t>
            </w:r>
            <w:r>
              <w:rPr>
                <w:rFonts w:ascii="Times New Roman;serif" w:hAnsi="Times New Roman;serif"/>
                <w:b w:val="false"/>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(9,571)</w:t>
            </w:r>
          </w:p>
        </w:tc>
        <w:tc>
          <w:tcPr>
            <w:tcW w:w="13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w:t>
            </w:r>
          </w:p>
        </w:tc>
        <w:tc>
          <w:tcPr>
            <w:tcW w:w="20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58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6,552 </w:t>
            </w:r>
          </w:p>
        </w:tc>
        <w:tc>
          <w:tcPr>
            <w:tcW w:w="13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 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58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bargain purchase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73,590 </w:t>
            </w:r>
          </w:p>
        </w:tc>
        <w:tc>
          <w:tcPr>
            <w:tcW w:w="13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amortization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(5,647)</w:t>
            </w:r>
          </w:p>
        </w:tc>
        <w:tc>
          <w:tcPr>
            <w:tcW w:w="13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 loss of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3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65,940 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income tax</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w:t>
            </w:r>
          </w:p>
        </w:tc>
        <w:tc>
          <w:tcPr>
            <w:tcW w:w="13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64,480 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3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3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3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3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3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3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3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3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360"/>
        <w:jc w:val="both"/>
        <w:rPr/>
      </w:pPr>
      <w:r>
        <w:rPr>
          <w:rFonts w:ascii="Times New Roman;serif" w:hAnsi="Times New Roman;serif"/>
          <w:b w:val="false"/>
          <w:color w:val="000000"/>
          <w:sz w:val="16"/>
        </w:rPr>
        <w:t xml:space="preserve">(1)Underwriting and fee income related general and administrative expenses is a non-GAAP measure. Please refer to </w:t>
      </w:r>
      <w:r>
        <w:rPr>
          <w:rFonts w:ascii="Times New Roman;serif" w:hAnsi="Times New Roman;serif"/>
          <w:b w:val="false"/>
          <w:i/>
          <w:color w:val="000000"/>
          <w:sz w:val="16"/>
        </w:rPr>
        <w:t xml:space="preserve">"General and Administrative Expenses" </w:t>
      </w:r>
      <w:r>
        <w:rPr>
          <w:rFonts w:ascii="Times New Roman;serif" w:hAnsi="Times New Roman;serif"/>
          <w:b w:val="false"/>
          <w:color w:val="000000"/>
          <w:sz w:val="16"/>
        </w:rPr>
        <w:t>below</w:t>
      </w:r>
      <w:r>
        <w:rPr>
          <w:color w:val="000000"/>
        </w:rPr>
        <w:t xml:space="preserve"> </w:t>
      </w:r>
      <w:r>
        <w:rPr>
          <w:rFonts w:ascii="Times New Roman;serif" w:hAnsi="Times New Roman;serif"/>
          <w:b w:val="false"/>
          <w:color w:val="000000"/>
          <w:sz w:val="16"/>
        </w:rPr>
        <w:t>for additional information related to these corporate expenses and the reconciliation to those presented in our unaudited Condensed Consolidated Statements of Income.</w:t>
      </w:r>
    </w:p>
    <w:p>
      <w:pPr>
        <w:pStyle w:val="TextBody"/>
        <w:bidi w:val="0"/>
        <w:spacing w:lineRule="auto" w:line="240"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(2)Underwriting and fee income is a non-GAAP measure and is calculated as net premiums earned plus fee revenue less net loss and LAE, commission and other acquisition expenses and general and administrative expenses directly related to underwriting activities.</w:t>
      </w:r>
    </w:p>
    <w:p>
      <w:pPr>
        <w:pStyle w:val="TextBody"/>
        <w:bidi w:val="0"/>
        <w:spacing w:lineRule="auto" w:line="240"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(3)The Company does not present certain non-GAAP measures such as combined ratio and its related components in its results of operation, as it believes that as the run-off of its reinsurance portfolios progresses, such ratios are increasingly not meaningful and of less value to readers as they evaluate our financial results.</w:t>
      </w:r>
    </w:p>
    <w:p>
      <w:pPr>
        <w:pStyle w:val="TextBody"/>
        <w:bidi w:val="0"/>
        <w:spacing w:before="0" w:after="0"/>
        <w:jc w:val="both"/>
        <w:rPr/>
      </w:pPr>
      <w:r>
        <w:rPr/>
      </w:r>
    </w:p>
    <w:p>
      <w:pPr>
        <w:pStyle w:val="TextBody"/>
        <w:bidi w:val="0"/>
        <w:spacing w:lineRule="auto" w:line="240" w:before="0" w:after="120"/>
        <w:ind w:left="0" w:right="0" w:hanging="135"/>
        <w:jc w:val="left"/>
        <w:rPr>
          <w:rFonts w:ascii="Times New Roman;serif" w:hAnsi="Times New Roman;serif"/>
          <w:b/>
          <w:i/>
          <w:color w:val="000000"/>
          <w:sz w:val="20"/>
        </w:rPr>
      </w:pPr>
      <w:r>
        <w:rPr>
          <w:rFonts w:ascii="Times New Roman;serif" w:hAnsi="Times New Roman;serif"/>
          <w:b/>
          <w:i/>
          <w:color w:val="000000"/>
          <w:sz w:val="20"/>
        </w:rPr>
        <w:t>Net (loss) income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a result of the completion of the Combination Agreement on May 27, 2025, the Company acquired Maiden's operations, which includes significant underwriting and investment activities, along with operating expenses and interest expense associated with Maiden's debt. Maiden's results of operations are reported herein for the period May 28, 2025 to September 30, 2025 and significantly impact the comparisons to operating results in the three and nine months ended September 30, 2024. Because the prior year period results of operations do not include the operations of Maiden, the year-over-year comparisons are generally not directly comparable.</w:t>
      </w:r>
    </w:p>
    <w:p>
      <w:pPr>
        <w:pStyle w:val="TextBody"/>
        <w:bidi w:val="0"/>
        <w:spacing w:lineRule="auto" w:line="240" w:before="0" w:after="120"/>
        <w:jc w:val="both"/>
        <w:rPr>
          <w:rFonts w:ascii="Times New Roman;serif" w:hAnsi="Times New Roman;serif"/>
          <w:b/>
          <w:color w:val="000000"/>
          <w:sz w:val="20"/>
          <w:u w:val="single"/>
        </w:rPr>
      </w:pPr>
      <w:r>
        <w:rPr>
          <w:rFonts w:ascii="Times New Roman;serif" w:hAnsi="Times New Roman;serif"/>
          <w:b/>
          <w:color w:val="000000"/>
          <w:sz w:val="20"/>
          <w:u w:val="single"/>
        </w:rPr>
        <w:t>Results for the three months ended September 30, 2025</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loss for the three months ended September 30, 2025 was $5.1 million compared to a net loss of $0.4 million for the same respective period in 2024. An underwriting loss from the Legacy Reinsurance segment combined with higher operating and interest expenses was partially offset by Program Services fee income, investment income and gains from investment activities along with foreign exchange gains. </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our financial results for the third quarter of 2025 compared to the third quarter of 2024 consisted of: </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underwriting and fee loss of $8.0 million for the three months ended September 30, 2025 compared to fee income of $0.1 million in the same period in 2024 largely due to:</w:t>
      </w:r>
    </w:p>
    <w:p>
      <w:pPr>
        <w:pStyle w:val="TextBody"/>
        <w:bidi w:val="0"/>
        <w:spacing w:lineRule="auto" w:line="240" w:before="0" w:after="60"/>
        <w:ind w:left="0" w:right="0" w:hanging="180"/>
        <w:jc w:val="both"/>
        <w:rPr/>
      </w:pPr>
      <w:r>
        <w:rPr>
          <w:color w:val="000000"/>
        </w:rPr>
        <w:t>•</w:t>
      </w:r>
      <w:r>
        <w:rPr>
          <w:rFonts w:ascii="Times New Roman;serif" w:hAnsi="Times New Roman;serif"/>
          <w:b w:val="false"/>
          <w:color w:val="000000"/>
          <w:sz w:val="20"/>
        </w:rPr>
        <w:t>Our Legacy Reinsurance segment experienced adverse prior year loss development ("PPD") of $6.6 million in the third quarter of 2025, detailed as follows:</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Our AmTrust Reinsurance Legacy business experienced adverse PPD of $6.9 million in the third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Our Diversified Reinsurance Legacy business experienced favorable PPD of $0.3 million in the third quarter of 2025.</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 xml:space="preserve">On a current accident year basis, the underwriting loss for the Legacy Reinsurance segment was $2.4 million for the three months ended September 30, 2025. </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Program Services segment produced fee income of $1.0 million for the three months ended September 30, 2025 compared to fee income of $0.1 million for the same respective period in 2024. Fee revenue increased to $1.6 million for the three months ended September 30, 2025 compared to $0.7 million for the same period in 2024 derived from fees from both new and existing client programs. Increased premium volume accounted for $1.1 million of fee revenue for the three months ended September 30, 2025.</w:t>
      </w:r>
    </w:p>
    <w:p>
      <w:pPr>
        <w:pStyle w:val="TextBody"/>
        <w:bidi w:val="0"/>
        <w:spacing w:lineRule="auto" w:line="244" w:before="0" w:after="120"/>
        <w:ind w:left="0" w:right="0" w:hanging="180"/>
        <w:jc w:val="both"/>
        <w:rPr/>
      </w:pPr>
      <w:r>
        <w:rPr>
          <w:color w:val="000000"/>
        </w:rPr>
        <w:t>•</w:t>
      </w:r>
      <w:r>
        <w:rPr>
          <w:rFonts w:ascii="Times New Roman;serif" w:hAnsi="Times New Roman;serif"/>
          <w:b w:val="false"/>
          <w:color w:val="000000"/>
          <w:sz w:val="20"/>
        </w:rPr>
        <w:t>combined income from investment activities totaled $9.0 million for the three months ended September 30, 2025 compared to $0.1 million for the same period in 2024 primarily due to the following:</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 xml:space="preserve">net investment income increased to $3.5 million for the three months ended September 30, 2025 compared to $0.1 million that was earned for the same respective period in 2024; </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realized and unrealized investment gains of $5.5 million for the three months ended September 30, 2025 compared to investment losses of $0.0 million for the same respective period in 2024; and</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interest in loss of equity method investments was $24.0 thousand for the three months ended September 30, 2025 compared to $0.0 million for the same respective period in 2024.</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corporate general and administrative expenses increased to $6.4 million for the three months ended September 30, 2025 compared to $0.6 million for the same period in 2024. Corporate expenses for the three months ended September 30, 2025 included $1.9 million in non-recurring expenses for employee separation, insurance and Combination-related costs. Excluding these non-recurring expenses, our adjusted corporate expenses for the three months ended September 30, 2025 increased by $3.9 million compared to the same period in 2024, which were the result of the Combination with Maiden; and</w:t>
      </w:r>
    </w:p>
    <w:p>
      <w:pPr>
        <w:pStyle w:val="TextBody"/>
        <w:bidi w:val="0"/>
        <w:spacing w:lineRule="auto" w:line="240" w:before="0" w:after="180"/>
        <w:ind w:left="0" w:right="0" w:hanging="180"/>
        <w:jc w:val="both"/>
        <w:rPr/>
      </w:pPr>
      <w:r>
        <w:rPr>
          <w:color w:val="000000"/>
        </w:rPr>
        <w:t>•</w:t>
      </w:r>
      <w:r>
        <w:rPr>
          <w:rFonts w:ascii="Times New Roman;serif" w:hAnsi="Times New Roman;serif"/>
          <w:b w:val="false"/>
          <w:color w:val="000000"/>
          <w:sz w:val="20"/>
        </w:rPr>
        <w:t>foreign exchange and other gains of $2.9 million for the three months ended September 30, 2025, compared to foreign exchange and other losses of $0.0 million for the same period in 2024, primarily due to appreciation of the U.S dollar on the re-measurement of net loss reserves and insurance related liabilities denominated in the British pound and euro.</w:t>
      </w:r>
    </w:p>
    <w:p>
      <w:pPr>
        <w:pStyle w:val="TextBody"/>
        <w:bidi w:val="0"/>
        <w:spacing w:lineRule="auto" w:line="240" w:before="60" w:after="120"/>
        <w:jc w:val="both"/>
        <w:rPr>
          <w:rFonts w:ascii="Times New Roman;serif" w:hAnsi="Times New Roman;serif"/>
          <w:b/>
          <w:color w:val="000000"/>
          <w:sz w:val="20"/>
          <w:u w:val="single"/>
        </w:rPr>
      </w:pPr>
      <w:r>
        <w:rPr>
          <w:rFonts w:ascii="Times New Roman;serif" w:hAnsi="Times New Roman;serif"/>
          <w:b/>
          <w:color w:val="000000"/>
          <w:sz w:val="20"/>
          <w:u w:val="single"/>
        </w:rPr>
        <w:t>Results for the nine months ended September 30, 2025</w:t>
      </w:r>
    </w:p>
    <w:p>
      <w:pPr>
        <w:pStyle w:val="TextBody"/>
        <w:bidi w:val="0"/>
        <w:spacing w:lineRule="auto" w:line="240" w:before="60" w:after="120"/>
        <w:ind w:left="0" w:right="0" w:firstLine="270"/>
        <w:jc w:val="both"/>
        <w:rPr/>
      </w:pPr>
      <w:r>
        <w:rPr>
          <w:rFonts w:ascii="Times New Roman;serif" w:hAnsi="Times New Roman;serif"/>
          <w:b w:val="false"/>
          <w:color w:val="000000"/>
          <w:sz w:val="20"/>
        </w:rPr>
        <w:t xml:space="preserve">Net income for the nine months ended September 30, 2025 was $64.5 million compared to net loss of $1.4 million in 2024. Net income for the nine months ended September 30, 2025 was substantially the result of the gain on bargain purchase of $73.6 million from the completion of the Combination on May 27, 2025 as discussed in </w:t>
      </w:r>
      <w:r>
        <w:rPr>
          <w:rFonts w:ascii="Times New Roman;serif" w:hAnsi="Times New Roman;serif"/>
          <w:b w:val="false"/>
          <w:i/>
          <w:color w:val="000000"/>
          <w:sz w:val="20"/>
        </w:rPr>
        <w:t>Note 15. Business Combination</w:t>
      </w:r>
      <w:r>
        <w:rPr>
          <w:color w:val="000000"/>
        </w:rPr>
        <w:t xml:space="preserve"> </w:t>
      </w:r>
      <w:r>
        <w:rPr>
          <w:rFonts w:ascii="Times New Roman;serif" w:hAnsi="Times New Roman;serif"/>
          <w:b w:val="false"/>
          <w:color w:val="000000"/>
          <w:sz w:val="20"/>
        </w:rPr>
        <w:t xml:space="preserve">included in Part 1. Item 1. Financial Information. </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Excluding the gain on bargain purchase, net loss was $9.1 million for the nine months ended September 30, 2025 compared to a net loss of $1.4 million for the same period in 2024. An underwriting loss from the Legacy Reinsurance segment as well as higher operating and interest expenses and foreign exchange losses was partially offset by Program Services fee income, and investment income and gains from investment activities. </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change in our financial results for the nine months ended September 30, 2025 compared to 2024 consisted of:</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underwriting and fee loss of $1.8 million in the nine months ended September 30, 2025 compared to fee income of $0.5 million for the same respective period in 2024 largely due to:</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Our Legacy Reinsurance segment experienced favorable PPD of $1.2 million for the nine months ended September 30, 2025 detailed as follows:</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Our AmTrust Reinsurance Legacy business experienced favorable PPD of $1.0 million for the nine months ended September 30, 2025.</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Our Diversified Reinsurance Legacy business experienced favorable PPD of $0.2 million for the nine months ended September 30, 2025.</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 xml:space="preserve">On a current accident year basis, the underwriting loss for the Legacy Reinsurance segment was $3.9 million for the nine months ended September 30, 2025. </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 xml:space="preserve">Program Services segment produced fee income of $1.0 million for the nine months ended September 30, 2025 compared to fee income of $0.5 million for the same period in 2024. Fee revenue increased to $3.0 million for the nine months ended September 30, 2025 compared to $2.5 million for the same period in 2024 derived from fees from both new and existing client programs. Increased premium volume accounted for $0.5 million of fee revenue for the nine months ended September 30, 2025. </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combined income from investment activities of $11.6 million for the nine months ended September 30, 2025 compared to $0.2 million in 2024 primarily due to the following:</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net investment income increased to $5.1 million for the nine months ended September 30, 2025 compared to $0.2 million that was earned in 2024;</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realized and unrealized investment gains of $6.6 million for the nine months ended September 30, 2025 compared to losses of $0.0 million in 2024;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interest in loss of equity method investments was $24.0 thousand for the nine months ended September 30, 2025 compared to $0.0 million for the same respective period in 2024.</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corporate general and administrative expenses increased to $9.6 million for the nine months ended September 30, 2025 compared to $2.0 million in 2024. Corporate expenses for the nine months ended September 30, 2025 include $3.9 million for non-recurring employee separation, insurance and Combination-related costs. Excluding these non-recurring expenses, our adjusted corporate expenses for the nine months ended September 30, 2025 increased by $3.7 million compared to the same period in 2024, which were the result of the Combination with Maiden; and</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foreign exchange and other losses of $2.2 million for the nine months ended September 30, 2025 compared to foreign exchange and other losses of $0.0 million earned in 2024, largely due to significant weakening of the U.S dollar on the re-measurement of net loss reserves and insurance related liabilities denominated in the British pound and euro.</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Net Premiums Written </w:t>
      </w:r>
    </w:p>
    <w:p>
      <w:pPr>
        <w:pStyle w:val="TextBody"/>
        <w:bidi w:val="0"/>
        <w:spacing w:lineRule="auto" w:line="240" w:before="0" w:after="0"/>
        <w:ind w:left="0" w:right="0" w:firstLine="135"/>
        <w:jc w:val="both"/>
        <w:rPr>
          <w:rFonts w:ascii="Times New Roman;serif" w:hAnsi="Times New Roman;serif"/>
          <w:b w:val="false"/>
          <w:color w:val="000000"/>
          <w:sz w:val="20"/>
        </w:rPr>
      </w:pPr>
      <w:r>
        <w:rPr>
          <w:rFonts w:ascii="Times New Roman;serif" w:hAnsi="Times New Roman;serif"/>
          <w:b w:val="false"/>
          <w:color w:val="000000"/>
          <w:sz w:val="20"/>
        </w:rPr>
        <w:t xml:space="preserve">Net premiums written by our reportable segment, reconciled to the total consolidated net premiums written for the three and nine months ended September 30, 2025 and 2024 are detailed below: </w:t>
      </w:r>
    </w:p>
    <w:tbl>
      <w:tblPr>
        <w:tblW w:w="8289" w:type="dxa"/>
        <w:jc w:val="left"/>
        <w:tblInd w:w="0" w:type="dxa"/>
        <w:tblLayout w:type="fixed"/>
        <w:tblCellMar>
          <w:top w:w="28" w:type="dxa"/>
          <w:left w:w="28" w:type="dxa"/>
          <w:bottom w:w="28" w:type="dxa"/>
          <w:right w:w="28" w:type="dxa"/>
        </w:tblCellMar>
      </w:tblPr>
      <w:tblGrid>
        <w:gridCol w:w="1190"/>
        <w:gridCol w:w="1045"/>
        <w:gridCol w:w="1049"/>
        <w:gridCol w:w="109"/>
        <w:gridCol w:w="109"/>
        <w:gridCol w:w="109"/>
        <w:gridCol w:w="211"/>
        <w:gridCol w:w="616"/>
        <w:gridCol w:w="109"/>
        <w:gridCol w:w="109"/>
        <w:gridCol w:w="466"/>
        <w:gridCol w:w="165"/>
        <w:gridCol w:w="165"/>
        <w:gridCol w:w="166"/>
        <w:gridCol w:w="244"/>
        <w:gridCol w:w="470"/>
        <w:gridCol w:w="126"/>
        <w:gridCol w:w="109"/>
        <w:gridCol w:w="196"/>
        <w:gridCol w:w="109"/>
        <w:gridCol w:w="109"/>
        <w:gridCol w:w="109"/>
        <w:gridCol w:w="211"/>
        <w:gridCol w:w="616"/>
        <w:gridCol w:w="109"/>
        <w:gridCol w:w="109"/>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26" w:type="dxa"/>
            <w:gridSpan w:val="8"/>
            <w:tcBorders/>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ind w:left="0" w:right="0" w:hanging="135"/>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8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Legacy Business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Reinsurance Legacy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28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Legacy Reinsurance Segment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w:t>
            </w:r>
          </w:p>
        </w:tc>
        <w:tc>
          <w:tcPr>
            <w:tcW w:w="1831" w:type="dxa"/>
            <w:gridSpan w:val="10"/>
            <w:tcBorders/>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ind w:left="0" w:right="0" w:hanging="135"/>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8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Legacy Business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Reinsurance Legacy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Total Legacy Reinsurance Segment</w:t>
            </w:r>
            <w:r>
              <w:rPr>
                <w:rFonts w:ascii="Times New Roman;serif" w:hAnsi="Times New Roman;serif"/>
                <w:b/>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(1) Legacy Reinsurance segment results only include the post-combination period of May 28 to June 30, 2025.</w:t>
      </w:r>
    </w:p>
    <w:p>
      <w:pPr>
        <w:pStyle w:val="TextBody"/>
        <w:bidi w:val="0"/>
        <w:spacing w:before="0" w:after="0"/>
        <w:jc w:val="both"/>
        <w:rPr/>
      </w:pPr>
      <w:r>
        <w:rPr/>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premiums written for the three and nine months ended September 30, 2025 increased to $3.9 million and $5.0 million, respectively, which was split as follows:</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 xml:space="preserve">Premiums written in the Diversified Reinsurance legacy business were $3.6 million and $5.0 million for the three and nine months ended September 30, 2025, respectively. As discussed in </w:t>
      </w:r>
      <w:r>
        <w:rPr>
          <w:rFonts w:ascii="Times New Roman;serif" w:hAnsi="Times New Roman;serif"/>
          <w:b w:val="false"/>
          <w:i/>
          <w:color w:val="000000"/>
          <w:sz w:val="20"/>
        </w:rPr>
        <w:t>Note 14. Assets Held for Sale</w:t>
      </w:r>
      <w:r>
        <w:rPr>
          <w:color w:val="000000"/>
        </w:rPr>
        <w:t xml:space="preserve"> </w:t>
      </w:r>
      <w:r>
        <w:rPr>
          <w:rFonts w:ascii="Times New Roman;serif" w:hAnsi="Times New Roman;serif"/>
          <w:b w:val="false"/>
          <w:color w:val="000000"/>
          <w:sz w:val="20"/>
        </w:rPr>
        <w:t xml:space="preserve">of the Notes to Condensed Consolidated Financial Statements in Part I Item 1. </w:t>
      </w:r>
      <w:r>
        <w:rPr>
          <w:rFonts w:ascii="Times New Roman;serif" w:hAnsi="Times New Roman;serif"/>
          <w:b w:val="false"/>
          <w:i/>
          <w:color w:val="000000"/>
          <w:sz w:val="20"/>
        </w:rPr>
        <w:t>"Financial Information",</w:t>
      </w:r>
      <w:r>
        <w:rPr>
          <w:color w:val="000000"/>
        </w:rPr>
        <w:t xml:space="preserve"> </w:t>
      </w:r>
      <w:r>
        <w:rPr>
          <w:rFonts w:ascii="Times New Roman;serif" w:hAnsi="Times New Roman;serif"/>
          <w:b w:val="false"/>
          <w:color w:val="000000"/>
          <w:sz w:val="20"/>
        </w:rPr>
        <w:t>Maiden LF and Maiden GF are no longer writing new business and their non-underwriting related assets and liabilities are presented as held-for-sale in our condensed consolidated financial statements.</w:t>
      </w:r>
    </w:p>
    <w:p>
      <w:pPr>
        <w:pStyle w:val="TextBody"/>
        <w:bidi w:val="0"/>
        <w:spacing w:lineRule="auto" w:line="240" w:before="0" w:after="120"/>
        <w:ind w:left="0" w:right="0" w:hanging="180"/>
        <w:jc w:val="both"/>
        <w:rPr/>
      </w:pPr>
      <w:r>
        <w:rPr>
          <w:color w:val="000000"/>
        </w:rPr>
        <w:t>•</w:t>
      </w:r>
      <w:r>
        <w:rPr>
          <w:rFonts w:ascii="Times New Roman;serif" w:hAnsi="Times New Roman;serif"/>
          <w:b w:val="false"/>
          <w:color w:val="000000"/>
          <w:sz w:val="20"/>
        </w:rPr>
        <w:t>Premiums written in the AmTrust Reinsurance legacy business were $0.3 million and $23.0 thousand for the three and nine months ended September 30, 2025, respectively, which emanated from premium adjustments to both the AmTrust Quota Share and European Hospital Liability Quota Share, which had been terminated effective January 1, 2019.</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Please refer to the analysis below of our Diversified Reinsurance and AmTrust Reinsurance Legacy Business in the Legacy Reinsurance segment for further details.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Net Premiums Earned </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premiums earned for the three and nine months ended September 30, 2025 were $6.8 million and $9.3 million, respectively. Net premiums earned by our reportable segment, reconciled to the total consolidated net premiums earned, for the three and nine months ended September 30, 2025 and 2024 are detailed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tbl>
      <w:tblPr>
        <w:tblW w:w="8489" w:type="dxa"/>
        <w:jc w:val="left"/>
        <w:tblInd w:w="0" w:type="dxa"/>
        <w:tblLayout w:type="fixed"/>
        <w:tblCellMar>
          <w:top w:w="28" w:type="dxa"/>
          <w:left w:w="28" w:type="dxa"/>
          <w:bottom w:w="28" w:type="dxa"/>
          <w:right w:w="28" w:type="dxa"/>
        </w:tblCellMar>
      </w:tblPr>
      <w:tblGrid>
        <w:gridCol w:w="1261"/>
        <w:gridCol w:w="1107"/>
        <w:gridCol w:w="1111"/>
        <w:gridCol w:w="109"/>
        <w:gridCol w:w="109"/>
        <w:gridCol w:w="109"/>
        <w:gridCol w:w="211"/>
        <w:gridCol w:w="616"/>
        <w:gridCol w:w="109"/>
        <w:gridCol w:w="109"/>
        <w:gridCol w:w="109"/>
        <w:gridCol w:w="109"/>
        <w:gridCol w:w="109"/>
        <w:gridCol w:w="109"/>
        <w:gridCol w:w="211"/>
        <w:gridCol w:w="406"/>
        <w:gridCol w:w="109"/>
        <w:gridCol w:w="109"/>
        <w:gridCol w:w="841"/>
        <w:gridCol w:w="109"/>
        <w:gridCol w:w="109"/>
        <w:gridCol w:w="109"/>
        <w:gridCol w:w="211"/>
        <w:gridCol w:w="616"/>
        <w:gridCol w:w="109"/>
        <w:gridCol w:w="109"/>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47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Reinsurance Legacy Business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Reinsurance Legacy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47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Legacy Reinsurance Segment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w:t>
            </w:r>
          </w:p>
        </w:tc>
        <w:tc>
          <w:tcPr>
            <w:tcW w:w="1526" w:type="dxa"/>
            <w:gridSpan w:val="8"/>
            <w:tcBorders/>
          </w:tcPr>
          <w:p>
            <w:pPr>
              <w:pStyle w:val="TableContents"/>
              <w:bidi w:val="0"/>
              <w:spacing w:before="0" w:after="283"/>
              <w:jc w:val="left"/>
              <w:rPr>
                <w:sz w:val="4"/>
                <w:szCs w:val="4"/>
              </w:rPr>
            </w:pPr>
            <w:r>
              <w:rPr>
                <w:sz w:val="4"/>
                <w:szCs w:val="4"/>
              </w:rPr>
            </w:r>
          </w:p>
        </w:tc>
      </w:tr>
      <w:tr>
        <w:trPr/>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47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Reinsurance Legacy Business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Reinsurance Legacy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Total Legacy Reinsurance Segment</w:t>
            </w:r>
            <w:r>
              <w:rPr>
                <w:rFonts w:ascii="Times New Roman;serif" w:hAnsi="Times New Roman;serif"/>
                <w:b/>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9,258 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9,258 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120"/>
        <w:jc w:val="both"/>
        <w:rPr>
          <w:rFonts w:ascii="Times New Roman;serif" w:hAnsi="Times New Roman;serif"/>
          <w:b w:val="false"/>
          <w:color w:val="000000"/>
          <w:sz w:val="18"/>
        </w:rPr>
      </w:pPr>
      <w:r>
        <w:rPr>
          <w:rFonts w:ascii="Times New Roman;serif" w:hAnsi="Times New Roman;serif"/>
          <w:b w:val="false"/>
          <w:color w:val="000000"/>
          <w:sz w:val="18"/>
        </w:rPr>
        <w:t>(1) Legacy Reinsurance segment results only include the post-combination period of May 28, 2025 to June 30, 2025.</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Net premiums earned under Diversified Reinsurance legacy business for the three and nine months ended September 30, 2025 were $3.9 million and $5.3 million, respectively. Maiden LF and Maiden GF are no longer writing new business and their non-underwriting related assets and liabilities are represented as held-for-sale in our condensed consolidated financial statements as discussed above.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premiums earned under AmTrust Reinsurance legacy business for the three and nine months ended September 30, 2025 were $3.0 million and $4.0 million, respectively. Please refer to the analysis below of our Diversified Reinsurance and AmTrust Reinsurance under the Maiden Legacy segment further below for further details.</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Fee Revenue </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Fee Revenue is primarily produced by our Program Services segment. Revenue is measured as the amount of consideration Kestrel expects to receive in exchange for providing services to its customer and is generally governed by its managed service agreement. This agreement outlines the structure of the Authorized Program for which Kestrel oversees the placement of effective insurance policies in exchange for a fee. These agreements may also include other provisions, such as minimum fee arrangements or cancellation provisions, which may impact revenue recognition.</w:t>
      </w:r>
    </w:p>
    <w:p>
      <w:pPr>
        <w:pStyle w:val="TextBody"/>
        <w:bidi w:val="0"/>
        <w:spacing w:lineRule="auto" w:line="240"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Capacity distribution fees are collected from program managers or MGAs for the placement of effective insurance policies on behalf of our customer, which is considered a single performance obligation. Support services provided for these insurance and reinsurance brokerage arrangements include compliance and regulatory reporting and administrative support which culminate in the placement of bound insurance coverage.</w:t>
      </w:r>
    </w:p>
    <w:p>
      <w:pPr>
        <w:pStyle w:val="TextBody"/>
        <w:bidi w:val="0"/>
        <w:spacing w:lineRule="auto" w:line="228"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Fee revenue earned for the three and nine months ended September 30, 2025 was $1.6 million and $3.0 million, respectively, compared to $0.7 million and $2.5 million for the same periods in 2024, respectively. Fee revenue increased by $0.9 million and $0.5 million compared to the respective prior periods in 2024 primarily due to increased premium volume from both new and existing client programs. Increased premium volume accounted for $1.1 million and $0.5 million of fee revenue for the three and nine months ended September 30, 2025, respectively.</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Net Investment Income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investment income for the three and nine months ended September 30, 2025 increased by $3.4 million and $4.9 million, respectively, compared to the same respective periods in 2024 due to inclusion of Maiden's legacy fixed income and alternative investment portfolios in connection with the Combination.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Annualized average book yields decreased to 3.7% and 3.6% for the three and nine months ended September 30, 2025, compared to 4.4% and 4.5% for the same respective periods in 2024. Net interest income from our loan receivable from related party was $1.6 million and $2.3 million for the three and nine months ended September 30, 2025, respectively. The net loan receivable from related party had an average balance of $104.6 million and carried a weighted average interest rate of 6.1% and 6.2% for the three and nine months ended September 30, 2025, respectively. Floating rate investments comprised 48.2% of our total fixed income investments at September 30, 2025 compared to 0.0% at September 30, 2024.</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details our average aggregate fixed income assets (at cost) and annualized investment book yield for the three and nine months ended September 30, 2025 and 2024: </w:t>
      </w:r>
    </w:p>
    <w:tbl>
      <w:tblPr>
        <w:tblW w:w="10205" w:type="dxa"/>
        <w:jc w:val="center"/>
        <w:tblInd w:w="0" w:type="dxa"/>
        <w:tblLayout w:type="fixed"/>
        <w:tblCellMar>
          <w:top w:w="28" w:type="dxa"/>
          <w:left w:w="28" w:type="dxa"/>
          <w:bottom w:w="28" w:type="dxa"/>
          <w:right w:w="28" w:type="dxa"/>
        </w:tblCellMar>
      </w:tblPr>
      <w:tblGrid>
        <w:gridCol w:w="1241"/>
        <w:gridCol w:w="1033"/>
        <w:gridCol w:w="1036"/>
        <w:gridCol w:w="109"/>
        <w:gridCol w:w="109"/>
        <w:gridCol w:w="109"/>
        <w:gridCol w:w="241"/>
        <w:gridCol w:w="946"/>
        <w:gridCol w:w="310"/>
        <w:gridCol w:w="124"/>
        <w:gridCol w:w="124"/>
        <w:gridCol w:w="124"/>
        <w:gridCol w:w="241"/>
        <w:gridCol w:w="706"/>
        <w:gridCol w:w="310"/>
        <w:gridCol w:w="109"/>
        <w:gridCol w:w="109"/>
        <w:gridCol w:w="109"/>
        <w:gridCol w:w="236"/>
        <w:gridCol w:w="925"/>
        <w:gridCol w:w="303"/>
        <w:gridCol w:w="121"/>
        <w:gridCol w:w="121"/>
        <w:gridCol w:w="121"/>
        <w:gridCol w:w="236"/>
        <w:gridCol w:w="689"/>
        <w:gridCol w:w="363"/>
      </w:tblGrid>
      <w:tr>
        <w:trPr/>
        <w:tc>
          <w:tcPr>
            <w:tcW w:w="124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310"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aggregate fixed income assets, at cost </w:t>
            </w:r>
            <w:r>
              <w:rPr>
                <w:rFonts w:ascii="Times New Roman;serif" w:hAnsi="Times New Roman;serif"/>
                <w:b w:val="false"/>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355,331 </w:t>
            </w:r>
          </w:p>
        </w:tc>
        <w:tc>
          <w:tcPr>
            <w:tcW w:w="310"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4,744 </w:t>
            </w:r>
          </w:p>
        </w:tc>
        <w:tc>
          <w:tcPr>
            <w:tcW w:w="310"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178,191 </w:t>
            </w:r>
          </w:p>
        </w:tc>
        <w:tc>
          <w:tcPr>
            <w:tcW w:w="303"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5,027 </w:t>
            </w:r>
          </w:p>
        </w:tc>
        <w:tc>
          <w:tcPr>
            <w:tcW w:w="363"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Annualized investment book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hanging="360"/>
        <w:jc w:val="both"/>
        <w:rPr/>
      </w:pPr>
      <w:r>
        <w:rPr>
          <w:rFonts w:ascii="Times New Roman;serif" w:hAnsi="Times New Roman;serif"/>
          <w:b/>
          <w:i/>
          <w:color w:val="000000"/>
          <w:sz w:val="16"/>
        </w:rPr>
        <w:t>(1)</w:t>
      </w:r>
      <w:r>
        <w:rPr>
          <w:rFonts w:ascii="Times New Roman;serif" w:hAnsi="Times New Roman;serif"/>
          <w:b w:val="false"/>
          <w:color w:val="000000"/>
          <w:sz w:val="16"/>
        </w:rPr>
        <w:t>Fixed income assets include available-for-sale ("AFS") securities, cash and restricted cash, funds withheld receivable, and net loan receivable from related party. These amounts are an average of the amounts disclosed in our quarterly U.S. GAAP consolidated financial statements.</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Net Realized and Unrealized Investment Gains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realized and unrealized investment gains of $5.5 million and gains of $6.6 million were recognized for the three and nine months ended September 30, 2025, respectively. Net realized and unrealized investment gains for the three and nine months ended September 30, 2025 are summarized in the table below by investment category: </w:t>
      </w:r>
    </w:p>
    <w:tbl>
      <w:tblPr>
        <w:tblW w:w="10205" w:type="dxa"/>
        <w:jc w:val="left"/>
        <w:tblInd w:w="0" w:type="dxa"/>
        <w:tblLayout w:type="fixed"/>
        <w:tblCellMar>
          <w:top w:w="28" w:type="dxa"/>
          <w:left w:w="28" w:type="dxa"/>
          <w:bottom w:w="28" w:type="dxa"/>
          <w:right w:w="28" w:type="dxa"/>
        </w:tblCellMar>
      </w:tblPr>
      <w:tblGrid>
        <w:gridCol w:w="1205"/>
        <w:gridCol w:w="993"/>
        <w:gridCol w:w="999"/>
        <w:gridCol w:w="109"/>
        <w:gridCol w:w="109"/>
        <w:gridCol w:w="109"/>
        <w:gridCol w:w="462"/>
        <w:gridCol w:w="1350"/>
        <w:gridCol w:w="238"/>
        <w:gridCol w:w="238"/>
        <w:gridCol w:w="238"/>
        <w:gridCol w:w="238"/>
        <w:gridCol w:w="109"/>
        <w:gridCol w:w="2603"/>
        <w:gridCol w:w="211"/>
        <w:gridCol w:w="616"/>
        <w:gridCol w:w="109"/>
        <w:gridCol w:w="109"/>
        <w:gridCol w:w="160"/>
      </w:tblGrid>
      <w:tr>
        <w:trPr/>
        <w:tc>
          <w:tcPr>
            <w:tcW w:w="1205"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1205" w:type="dxa"/>
            <w:gridSpan w:val="5"/>
            <w:tcBorders/>
          </w:tcPr>
          <w:p>
            <w:pPr>
              <w:pStyle w:val="TableContents"/>
              <w:bidi w:val="0"/>
              <w:spacing w:before="0" w:after="283"/>
              <w:jc w:val="left"/>
              <w:rPr>
                <w:sz w:val="4"/>
                <w:szCs w:val="4"/>
              </w:rPr>
            </w:pPr>
            <w:r>
              <w:rPr>
                <w:sz w:val="4"/>
                <w:szCs w:val="4"/>
              </w:rPr>
            </w:r>
          </w:p>
        </w:tc>
      </w:tr>
      <w:tr>
        <w:trPr/>
        <w:tc>
          <w:tcPr>
            <w:tcW w:w="31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realized gains: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9" w:type="dxa"/>
            <w:gridSpan w:val="2"/>
            <w:tcBorders/>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realized gains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238"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unrealized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4,711 </w:t>
            </w:r>
          </w:p>
        </w:tc>
        <w:tc>
          <w:tcPr>
            <w:tcW w:w="23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unrealized gains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4,870 </w:t>
            </w:r>
          </w:p>
        </w:tc>
        <w:tc>
          <w:tcPr>
            <w:tcW w:w="238"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realized and unrealized investment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0"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Net unrealized gains for the three and nine months ended September 30, 2025 reflect fair value adjustments, primarily from Maiden's legacy alternative investment portfolios.</w:t>
      </w:r>
    </w:p>
    <w:p>
      <w:pPr>
        <w:pStyle w:val="TextBody"/>
        <w:bidi w:val="0"/>
        <w:spacing w:lineRule="auto" w:line="240" w:before="120" w:after="120"/>
        <w:jc w:val="both"/>
        <w:rPr>
          <w:rFonts w:ascii="Times New Roman;serif" w:hAnsi="Times New Roman;serif"/>
          <w:b/>
          <w:i/>
          <w:color w:val="000000"/>
          <w:sz w:val="20"/>
        </w:rPr>
      </w:pPr>
      <w:r>
        <w:rPr>
          <w:rFonts w:ascii="Times New Roman;serif" w:hAnsi="Times New Roman;serif"/>
          <w:b/>
          <w:i/>
          <w:color w:val="000000"/>
          <w:sz w:val="20"/>
        </w:rPr>
        <w:t>Net Loss and LAE</w:t>
      </w:r>
    </w:p>
    <w:p>
      <w:pPr>
        <w:pStyle w:val="TextBody"/>
        <w:bidi w:val="0"/>
        <w:spacing w:lineRule="auto" w:line="240" w:before="0" w:after="12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Net loss and LAE incurred for the three and nine months ended September 30, 2025 were $10.4 million and $4.4 million, respectively. Net incurred losses were impacted by net adverse PPD of $6.6 million and net favorable PPD of $1.2 million for the three and nine months ended September 30, 2025, respectively. Excluding the impact of PPD, current year losses were $3.8 million and $5.6 million for the three and nine months ended September 30, 2025, respectively.</w:t>
      </w:r>
    </w:p>
    <w:p>
      <w:pPr>
        <w:pStyle w:val="TextBody"/>
        <w:bidi w:val="0"/>
        <w:spacing w:lineRule="auto" w:line="240" w:before="0" w:after="12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cessation of active reinsurance underwriting on prospective risks included the termination of the AmTrust Quota Share and European Hospital Liability Quota Share effective January 1, 2019. The net prior year loss development is discussed in greater detail in the Legacy Reinsurance segment discussion and analysis and is entirely associated with the run-off of unearned premium for terminated reinsurance contracts in the legacy reinsurance operations.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Commission and Other Acquisition Expenses</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 incurred for the three and nine months ended September 30, 2025 were $1.7 million and $2.1 million, respectively. Please see the Legacy Reinsurance segment analysis below for further information.</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include both segment and corporate expenses segregated for analytical purposes as a component of underwriting income. Total general and administrative expenses incurred for the three and nine months ended September 30, 2025 increased by $9.6 million and increased by $13.0 million, respectively, compared to the same respective periods in 2024 primarily due to inclusion of Maiden's general and administrative operating expenses subsequent to May 27, 2025.</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for the three and nine months ended September 30, 2025 and 2024 were comprised of:</w:t>
      </w:r>
    </w:p>
    <w:tbl>
      <w:tblPr>
        <w:tblW w:w="10205" w:type="dxa"/>
        <w:jc w:val="left"/>
        <w:tblInd w:w="0" w:type="dxa"/>
        <w:tblLayout w:type="fixed"/>
        <w:tblCellMar>
          <w:top w:w="28" w:type="dxa"/>
          <w:left w:w="28" w:type="dxa"/>
          <w:bottom w:w="28" w:type="dxa"/>
          <w:right w:w="28" w:type="dxa"/>
        </w:tblCellMar>
      </w:tblPr>
      <w:tblGrid>
        <w:gridCol w:w="1267"/>
        <w:gridCol w:w="1108"/>
        <w:gridCol w:w="1119"/>
        <w:gridCol w:w="109"/>
        <w:gridCol w:w="109"/>
        <w:gridCol w:w="109"/>
        <w:gridCol w:w="278"/>
        <w:gridCol w:w="952"/>
        <w:gridCol w:w="143"/>
        <w:gridCol w:w="143"/>
        <w:gridCol w:w="143"/>
        <w:gridCol w:w="143"/>
        <w:gridCol w:w="278"/>
        <w:gridCol w:w="813"/>
        <w:gridCol w:w="143"/>
        <w:gridCol w:w="109"/>
        <w:gridCol w:w="109"/>
        <w:gridCol w:w="109"/>
        <w:gridCol w:w="270"/>
        <w:gridCol w:w="926"/>
        <w:gridCol w:w="139"/>
        <w:gridCol w:w="139"/>
        <w:gridCol w:w="139"/>
        <w:gridCol w:w="139"/>
        <w:gridCol w:w="270"/>
        <w:gridCol w:w="791"/>
        <w:gridCol w:w="208"/>
      </w:tblGrid>
      <w:tr>
        <w:trPr/>
        <w:tc>
          <w:tcPr>
            <w:tcW w:w="12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9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 segments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4,353 </w:t>
            </w:r>
          </w:p>
        </w:tc>
        <w:tc>
          <w:tcPr>
            <w:tcW w:w="14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4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7,435 </w:t>
            </w:r>
          </w:p>
        </w:tc>
        <w:tc>
          <w:tcPr>
            <w:tcW w:w="13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20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general and administrative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10,783 </w:t>
            </w:r>
          </w:p>
        </w:tc>
        <w:tc>
          <w:tcPr>
            <w:tcW w:w="14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4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17,006 </w:t>
            </w:r>
          </w:p>
        </w:tc>
        <w:tc>
          <w:tcPr>
            <w:tcW w:w="13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3,980 </w:t>
            </w:r>
          </w:p>
        </w:tc>
        <w:tc>
          <w:tcPr>
            <w:tcW w:w="20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0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Corporate expenses for the three and nine months ended September 30, 2025 included $1.9 million and $3.9 million for non-recurring employee separation, insurance and Combination-related costs. Excluding these non-recurring expenses, our adjusted corporate expenses for the three and nine months ended September 30, 2025 increased by $3.9 million and $3.7 million compared to the same respective periods in 2024. These increases as well as increases in our segment expenses were the result of the Combination with Maiden for the three and nine months ended September 30, 2025, respectively. </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Corporate expenses also included vesting of certain stock-based awards which were $0.5 million for the nine months ended September 30, 2025 compared to $0.0 million for the same period in 2024. </w:t>
      </w:r>
    </w:p>
    <w:p>
      <w:pPr>
        <w:pStyle w:val="TextBody"/>
        <w:bidi w:val="0"/>
        <w:spacing w:lineRule="auto" w:line="240" w:before="100" w:after="120"/>
        <w:jc w:val="both"/>
        <w:rPr>
          <w:rFonts w:ascii="Times New Roman;serif" w:hAnsi="Times New Roman;serif"/>
          <w:b/>
          <w:i/>
          <w:color w:val="000000"/>
          <w:sz w:val="20"/>
        </w:rPr>
      </w:pPr>
      <w:r>
        <w:rPr>
          <w:rFonts w:ascii="Times New Roman;serif" w:hAnsi="Times New Roman;serif"/>
          <w:b/>
          <w:i/>
          <w:color w:val="000000"/>
          <w:sz w:val="20"/>
        </w:rPr>
        <w:t>Interest and Amortization Expenses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Total interest and amortization expenses incurred for the three and nine months ended September 30, 2025 were $4.1 million and $5.6 million, respectively, which included: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40" w:before="60" w:after="120"/>
        <w:ind w:left="0" w:right="0" w:hanging="90"/>
        <w:jc w:val="both"/>
        <w:rPr/>
      </w:pPr>
      <w:r>
        <w:rPr>
          <w:color w:val="000000"/>
        </w:rPr>
        <w:t>•</w:t>
      </w:r>
      <w:r>
        <w:rPr>
          <w:rFonts w:ascii="Times New Roman;serif" w:hAnsi="Times New Roman;serif"/>
          <w:b w:val="false"/>
          <w:color w:val="000000"/>
          <w:sz w:val="20"/>
        </w:rPr>
        <w:t xml:space="preserve">Interest expense of $4.8 million and $6.6 million on the outstanding senior notes issued by Maiden in 2016 and Maiden Holdings North America, Ltd. ("Maiden NA") in 2013 ("Senior Notes") in the three and nine months ended September 30, 2025, respectively, that were acquired upon completion of the merger; </w:t>
      </w:r>
    </w:p>
    <w:p>
      <w:pPr>
        <w:pStyle w:val="TextBody"/>
        <w:bidi w:val="0"/>
        <w:spacing w:lineRule="auto" w:line="240" w:before="60" w:after="120"/>
        <w:ind w:left="0" w:right="0" w:hanging="90"/>
        <w:jc w:val="both"/>
        <w:rPr/>
      </w:pPr>
      <w:r>
        <w:rPr>
          <w:color w:val="000000"/>
        </w:rPr>
        <w:t>•</w:t>
      </w:r>
      <w:r>
        <w:rPr>
          <w:rFonts w:ascii="Times New Roman;serif" w:hAnsi="Times New Roman;serif"/>
          <w:b w:val="false"/>
          <w:color w:val="000000"/>
          <w:sz w:val="20"/>
        </w:rPr>
        <w:t>Amortization expense for the fair value adjustment on the Senior Notes was $0.3 million and $0.4 million for the three and nine months ended September 30, 2025, respectively. The difference between the principal amount of the acquired Senior Notes and their fair market value at closing of the Combination is being amortized over those securities' remaining life; partially offset by:</w:t>
      </w:r>
    </w:p>
    <w:p>
      <w:pPr>
        <w:pStyle w:val="TextBody"/>
        <w:bidi w:val="0"/>
        <w:spacing w:lineRule="auto" w:line="240" w:before="60" w:after="120"/>
        <w:ind w:left="0" w:right="0" w:hanging="90"/>
        <w:jc w:val="both"/>
        <w:rPr/>
      </w:pPr>
      <w:r>
        <w:rPr>
          <w:color w:val="000000"/>
        </w:rPr>
        <w:t>•</w:t>
      </w:r>
      <w:r>
        <w:rPr>
          <w:rFonts w:ascii="Times New Roman;serif" w:hAnsi="Times New Roman;serif"/>
          <w:b w:val="false"/>
          <w:color w:val="000000"/>
          <w:sz w:val="20"/>
        </w:rPr>
        <w:t>Fair value adjustment amortization of $0.9 million and $1.3 million for the net loan receivable from related party for the three and nine months ended September 30, 2025, respectively.</w:t>
      </w:r>
    </w:p>
    <w:p>
      <w:pPr>
        <w:pStyle w:val="TextBody"/>
        <w:bidi w:val="0"/>
        <w:spacing w:lineRule="auto" w:line="240" w:before="0" w:after="120"/>
        <w:ind w:left="0" w:right="0" w:firstLine="270"/>
        <w:jc w:val="both"/>
        <w:rPr/>
      </w:pPr>
      <w:r>
        <w:rPr>
          <w:rFonts w:ascii="Times New Roman;serif" w:hAnsi="Times New Roman;serif"/>
          <w:b w:val="false"/>
          <w:color w:val="000000"/>
          <w:sz w:val="20"/>
        </w:rPr>
        <w:t>Please refer to "</w:t>
      </w:r>
      <w:r>
        <w:rPr>
          <w:rFonts w:ascii="Times New Roman;serif" w:hAnsi="Times New Roman;serif"/>
          <w:b w:val="false"/>
          <w:i/>
          <w:color w:val="000000"/>
          <w:sz w:val="20"/>
        </w:rPr>
        <w:t>Notes to Condensed Consolidated Financial Statements (unaudited) Note 7. Long Term Debt</w:t>
      </w:r>
      <w:r>
        <w:rPr>
          <w:rFonts w:ascii="Times New Roman;serif" w:hAnsi="Times New Roman;serif"/>
          <w:b w:val="false"/>
          <w:color w:val="000000"/>
          <w:sz w:val="20"/>
        </w:rPr>
        <w:t>" for further details on the Senior Notes. The weighted average effective interest rate for the Senior Notes was 11.7% for the three and nine months ended September 30, 2025, respectively.</w:t>
      </w:r>
    </w:p>
    <w:p>
      <w:pPr>
        <w:pStyle w:val="TextBody"/>
        <w:bidi w:val="0"/>
        <w:spacing w:before="0" w:after="120"/>
        <w:ind w:left="0" w:right="0" w:firstLine="270"/>
        <w:jc w:val="both"/>
        <w:rPr/>
      </w:pPr>
      <w:r>
        <w:rPr/>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Gain on Bargain Purchase and Change in Earn out Liability</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As discussed in </w:t>
      </w:r>
      <w:r>
        <w:rPr>
          <w:rFonts w:ascii="Times New Roman;serif" w:hAnsi="Times New Roman;serif"/>
          <w:b w:val="false"/>
          <w:i/>
          <w:color w:val="000000"/>
          <w:sz w:val="20"/>
        </w:rPr>
        <w:t xml:space="preserve">Part I, Item 1 - Notes to Condensed Consolidated Financial Statements (unaudited) </w:t>
      </w:r>
      <w:r>
        <w:rPr>
          <w:rFonts w:ascii="Times New Roman;serif" w:hAnsi="Times New Roman;serif"/>
          <w:b w:val="false"/>
          <w:color w:val="000000"/>
          <w:sz w:val="20"/>
        </w:rPr>
        <w:t xml:space="preserve">and </w:t>
      </w:r>
      <w:r>
        <w:rPr>
          <w:rFonts w:ascii="Times New Roman;serif" w:hAnsi="Times New Roman;serif"/>
          <w:b w:val="false"/>
          <w:i/>
          <w:color w:val="000000"/>
          <w:sz w:val="20"/>
        </w:rPr>
        <w:t>"Note 15. Business Combination"</w:t>
      </w:r>
      <w:r>
        <w:rPr>
          <w:color w:val="000000"/>
        </w:rPr>
        <w:t xml:space="preserve"> </w:t>
      </w:r>
      <w:r>
        <w:rPr>
          <w:rFonts w:ascii="Times New Roman;serif" w:hAnsi="Times New Roman;serif"/>
          <w:b w:val="false"/>
          <w:color w:val="000000"/>
          <w:sz w:val="20"/>
        </w:rPr>
        <w:t>included in this Form 10-Q, the gain on bargain purchase of $73.6 million is the differential between the fair value of net assets of Maiden acquired on May 27, 2025 as a result of the Combination and the equity consideration effectively transferred to Maiden shareholders on that date.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terms of the Combination, former Kestrel shareholders are eligible to earn additional contingent consideration up to the lesser of (x) 2.75 million common shares of Kestrel Group and (y) $45.0 million payable in common shares of Kestrel Group, subject to the achievement of certain EBITDA milestones by the businesses that Kestrel conducted immediately prior to the closing and any extensions of such businesses or related or ancillary businesses existing thereafter subsequent to completion of the transaction through May 31, 2028 ("Performance Period"). During the three and nine months ended September 30, 2025, the fair value of the earn out liability decreased by $2.7 million and $0.0 million based upon current estimates of the Kestrel business for the Performance Period, including the performance of the Program Services business through September 30, 2025.</w: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Foreign Exchange and Other Gains (Losses)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Foreign currency fluctuations are primarily driven by exposures to euro, British pound and other non-USD denominated net loss reserves and insurance related liabilities in excess of foreign currency assets in our Legacy Reinsurance segment. Net foreign exchange and other gains of $2.9 million and losses of $2.2 million were realized for the three and nine months ended September 30, 2025, respectively, compared to net foreign exchange and other losses of $0.0 million for the same periods in 2024.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net foreign exchange gains of $2.9 million were attributable to appreciation of the U.S. dollar on the re-measurement of net loss reserves and insurance related liabilities denominated in the British pound and euro. Foreign exchange losses of $2.2 million for the nine months ended September 30, 2025 were attributable to significant weakening of the U.S. dollar on the re-measurement of net loss reserves and insurance related liabilities denominated in the British pound and euro.</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non-USD denominated liabilities at September 30, 2025 included net loss reserves of $310.8 million. Our foreign currency asset exposures at September 30, 2025 included $137.8 million of fixed maturity euro denominated bonds managed by our investment managers who have the discretion to hold foreign currency exposures as part of their total return strategy, $32.5 million of real estate investments denominated in Canadian dollars, as well as $11.9 million of funds withheld receivable denominated in euro. </w:t>
      </w:r>
    </w:p>
    <w:p>
      <w:pPr>
        <w:pStyle w:val="TextBody"/>
        <w:bidi w:val="0"/>
        <w:spacing w:lineRule="auto" w:line="228" w:before="0" w:after="120"/>
        <w:jc w:val="both"/>
        <w:rPr>
          <w:rFonts w:ascii="Times New Roman;serif" w:hAnsi="Times New Roman;serif"/>
          <w:b/>
          <w:color w:val="000000"/>
          <w:sz w:val="20"/>
        </w:rPr>
      </w:pPr>
      <w:r>
        <w:rPr>
          <w:rFonts w:ascii="Times New Roman;serif" w:hAnsi="Times New Roman;serif"/>
          <w:b/>
          <w:color w:val="000000"/>
          <w:sz w:val="20"/>
        </w:rPr>
        <w:t>Underwriting Results by Reportable Segment</w:t>
      </w:r>
    </w:p>
    <w:p>
      <w:pPr>
        <w:pStyle w:val="TextBody"/>
        <w:bidi w:val="0"/>
        <w:spacing w:lineRule="auto" w:line="228" w:before="0" w:after="120"/>
        <w:jc w:val="left"/>
        <w:rPr>
          <w:rFonts w:ascii="Times New Roman;serif" w:hAnsi="Times New Roman;serif"/>
          <w:b/>
          <w:color w:val="000000"/>
          <w:sz w:val="20"/>
        </w:rPr>
      </w:pPr>
      <w:r>
        <w:rPr>
          <w:rFonts w:ascii="Times New Roman;serif" w:hAnsi="Times New Roman;serif"/>
          <w:b/>
          <w:color w:val="000000"/>
          <w:sz w:val="20"/>
        </w:rPr>
        <w:t>Program Services Segment</w:t>
      </w:r>
    </w:p>
    <w:p>
      <w:pPr>
        <w:pStyle w:val="TextBody"/>
        <w:bidi w:val="0"/>
        <w:spacing w:lineRule="auto" w:line="228"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segment results for Program Services for the three and nine months ended September 30, 2025 were as follows: </w:t>
      </w:r>
    </w:p>
    <w:tbl>
      <w:tblPr>
        <w:tblW w:w="10205" w:type="dxa"/>
        <w:jc w:val="center"/>
        <w:tblInd w:w="0" w:type="dxa"/>
        <w:tblLayout w:type="fixed"/>
        <w:tblCellMar>
          <w:top w:w="28" w:type="dxa"/>
          <w:left w:w="28" w:type="dxa"/>
          <w:bottom w:w="28" w:type="dxa"/>
          <w:right w:w="28" w:type="dxa"/>
        </w:tblCellMar>
      </w:tblPr>
      <w:tblGrid>
        <w:gridCol w:w="1115"/>
        <w:gridCol w:w="979"/>
        <w:gridCol w:w="981"/>
        <w:gridCol w:w="109"/>
        <w:gridCol w:w="109"/>
        <w:gridCol w:w="109"/>
        <w:gridCol w:w="335"/>
        <w:gridCol w:w="980"/>
        <w:gridCol w:w="173"/>
        <w:gridCol w:w="173"/>
        <w:gridCol w:w="173"/>
        <w:gridCol w:w="173"/>
        <w:gridCol w:w="335"/>
        <w:gridCol w:w="741"/>
        <w:gridCol w:w="173"/>
        <w:gridCol w:w="109"/>
        <w:gridCol w:w="109"/>
        <w:gridCol w:w="109"/>
        <w:gridCol w:w="302"/>
        <w:gridCol w:w="883"/>
        <w:gridCol w:w="155"/>
        <w:gridCol w:w="155"/>
        <w:gridCol w:w="155"/>
        <w:gridCol w:w="155"/>
        <w:gridCol w:w="302"/>
        <w:gridCol w:w="883"/>
        <w:gridCol w:w="230"/>
      </w:tblGrid>
      <w:tr>
        <w:trPr/>
        <w:tc>
          <w:tcPr>
            <w:tcW w:w="111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307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revenue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7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7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2,972 </w:t>
            </w:r>
          </w:p>
        </w:tc>
        <w:tc>
          <w:tcPr>
            <w:tcW w:w="15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23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Fee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7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7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5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23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Program Services segment results for the three and nine months ended September 30, 2025 increased by $0.8 million and $0.5 million, respectively, compared to the same periods in 2024 due to increased premium volume from both new and existing client programs.. Increased premium volume accounted for $1.1 million and $0.5 million of fee revenue for the three and nine months ended September 30, 2025, respectively. The Company continues to actively pursue reinsurance mechanisms with its existing partners that would selectively deploy the Company’s underwriting capacity and facilitate and accelerate both its fee and premium revenue growth. </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Legacy Reinsurance Segment</w:t>
      </w:r>
    </w:p>
    <w:p>
      <w:pPr>
        <w:pStyle w:val="TextBody"/>
        <w:bidi w:val="0"/>
        <w:spacing w:lineRule="auto" w:line="228" w:before="6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details underwriting results for the two components of our Legacy Reinsurance segment which is comprised of Diversified Reinsurance Legacy Business and the AmTrust Reinsurance Legacy Business. The underwriting results for our Legacy Reinsurance segment for the three and nine months ended September 30, 2025 were as follows:</w:t>
      </w:r>
    </w:p>
    <w:tbl>
      <w:tblPr>
        <w:tblW w:w="10205" w:type="dxa"/>
        <w:jc w:val="center"/>
        <w:tblInd w:w="0" w:type="dxa"/>
        <w:tblLayout w:type="fixed"/>
        <w:tblCellMar>
          <w:top w:w="28" w:type="dxa"/>
          <w:left w:w="28" w:type="dxa"/>
          <w:bottom w:w="28" w:type="dxa"/>
          <w:right w:w="28" w:type="dxa"/>
        </w:tblCellMar>
      </w:tblPr>
      <w:tblGrid>
        <w:gridCol w:w="1171"/>
        <w:gridCol w:w="955"/>
        <w:gridCol w:w="958"/>
        <w:gridCol w:w="109"/>
        <w:gridCol w:w="109"/>
        <w:gridCol w:w="109"/>
        <w:gridCol w:w="442"/>
        <w:gridCol w:w="1436"/>
        <w:gridCol w:w="228"/>
        <w:gridCol w:w="228"/>
        <w:gridCol w:w="228"/>
        <w:gridCol w:w="228"/>
        <w:gridCol w:w="109"/>
        <w:gridCol w:w="875"/>
        <w:gridCol w:w="875"/>
        <w:gridCol w:w="878"/>
        <w:gridCol w:w="211"/>
        <w:gridCol w:w="676"/>
        <w:gridCol w:w="109"/>
        <w:gridCol w:w="109"/>
        <w:gridCol w:w="162"/>
      </w:tblGrid>
      <w:tr>
        <w:trPr/>
        <w:tc>
          <w:tcPr>
            <w:tcW w:w="117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1267" w:type="dxa"/>
            <w:gridSpan w:val="5"/>
            <w:tcBorders/>
          </w:tcPr>
          <w:p>
            <w:pPr>
              <w:pStyle w:val="TableContents"/>
              <w:bidi w:val="0"/>
              <w:spacing w:before="0" w:after="283"/>
              <w:jc w:val="left"/>
              <w:rPr>
                <w:sz w:val="4"/>
                <w:szCs w:val="4"/>
              </w:rPr>
            </w:pPr>
            <w:r>
              <w:rPr>
                <w:sz w:val="4"/>
                <w:szCs w:val="4"/>
              </w:rPr>
            </w:r>
          </w:p>
        </w:tc>
      </w:tr>
      <w:tr>
        <w:trPr/>
        <w:tc>
          <w:tcPr>
            <w:tcW w:w="3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3,760 </w:t>
            </w:r>
          </w:p>
        </w:tc>
        <w:tc>
          <w:tcPr>
            <w:tcW w:w="22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3,895 </w:t>
            </w:r>
          </w:p>
        </w:tc>
        <w:tc>
          <w:tcPr>
            <w:tcW w:w="22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6,836 </w:t>
            </w:r>
          </w:p>
        </w:tc>
        <w:tc>
          <w:tcPr>
            <w:tcW w:w="22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9,258 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w:t>
            </w:r>
          </w:p>
        </w:tc>
        <w:tc>
          <w:tcPr>
            <w:tcW w:w="22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Underwriting loss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(8,977)</w:t>
            </w:r>
          </w:p>
        </w:tc>
        <w:tc>
          <w:tcPr>
            <w:tcW w:w="22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before="60" w:after="283"/>
        <w:jc w:val="both"/>
        <w:rPr/>
      </w:pPr>
      <w:r>
        <w:rPr/>
      </w:r>
    </w:p>
    <w:p>
      <w:pPr>
        <w:pStyle w:val="TextBody"/>
        <w:bidi w:val="0"/>
        <w:spacing w:before="60" w:after="283"/>
        <w:jc w:val="both"/>
        <w:rPr/>
      </w:pPr>
      <w:r>
        <w:rPr/>
      </w:r>
    </w:p>
    <w:p>
      <w:pPr>
        <w:pStyle w:val="TextBody"/>
        <w:bidi w:val="0"/>
        <w:spacing w:lineRule="auto" w:line="240" w:before="60" w:after="283"/>
        <w:jc w:val="both"/>
        <w:rPr/>
      </w:pPr>
      <w:r>
        <w:rPr>
          <w:rFonts w:ascii="Times New Roman;serif" w:hAnsi="Times New Roman;serif"/>
          <w:b/>
          <w:i/>
          <w:color w:val="000000"/>
          <w:sz w:val="20"/>
        </w:rPr>
        <w:t xml:space="preserve">Diversified Reinsurance Legacy Business: </w:t>
      </w:r>
      <w:r>
        <w:rPr>
          <w:rFonts w:ascii="Times New Roman;serif" w:hAnsi="Times New Roman;serif"/>
          <w:b w:val="false"/>
          <w:color w:val="000000"/>
          <w:sz w:val="20"/>
        </w:rPr>
        <w:t xml:space="preserve">The underwriting results for Diversified Reinsurance legacy business for the three and nine months ended September 30, 2025 were as follows: </w:t>
      </w:r>
    </w:p>
    <w:tbl>
      <w:tblPr>
        <w:tblW w:w="10205" w:type="dxa"/>
        <w:jc w:val="center"/>
        <w:tblInd w:w="0" w:type="dxa"/>
        <w:tblLayout w:type="fixed"/>
        <w:tblCellMar>
          <w:top w:w="28" w:type="dxa"/>
          <w:left w:w="28" w:type="dxa"/>
          <w:bottom w:w="28" w:type="dxa"/>
          <w:right w:w="28" w:type="dxa"/>
        </w:tblCellMar>
      </w:tblPr>
      <w:tblGrid>
        <w:gridCol w:w="1171"/>
        <w:gridCol w:w="955"/>
        <w:gridCol w:w="958"/>
        <w:gridCol w:w="109"/>
        <w:gridCol w:w="109"/>
        <w:gridCol w:w="109"/>
        <w:gridCol w:w="442"/>
        <w:gridCol w:w="1436"/>
        <w:gridCol w:w="228"/>
        <w:gridCol w:w="228"/>
        <w:gridCol w:w="228"/>
        <w:gridCol w:w="228"/>
        <w:gridCol w:w="109"/>
        <w:gridCol w:w="2630"/>
        <w:gridCol w:w="211"/>
        <w:gridCol w:w="676"/>
        <w:gridCol w:w="109"/>
        <w:gridCol w:w="109"/>
        <w:gridCol w:w="160"/>
      </w:tblGrid>
      <w:tr>
        <w:trPr/>
        <w:tc>
          <w:tcPr>
            <w:tcW w:w="117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1265" w:type="dxa"/>
            <w:gridSpan w:val="5"/>
            <w:tcBorders/>
          </w:tcPr>
          <w:p>
            <w:pPr>
              <w:pStyle w:val="TableContents"/>
              <w:bidi w:val="0"/>
              <w:spacing w:before="0" w:after="283"/>
              <w:jc w:val="left"/>
              <w:rPr>
                <w:sz w:val="4"/>
                <w:szCs w:val="4"/>
              </w:rPr>
            </w:pPr>
            <w:r>
              <w:rPr>
                <w:sz w:val="4"/>
                <w:szCs w:val="4"/>
              </w:rPr>
            </w:r>
          </w:p>
        </w:tc>
      </w:tr>
      <w:tr>
        <w:trPr/>
        <w:tc>
          <w:tcPr>
            <w:tcW w:w="3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3,452 </w:t>
            </w:r>
          </w:p>
        </w:tc>
        <w:tc>
          <w:tcPr>
            <w:tcW w:w="22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3,587 </w:t>
            </w:r>
          </w:p>
        </w:tc>
        <w:tc>
          <w:tcPr>
            <w:tcW w:w="22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3,876 </w:t>
            </w:r>
          </w:p>
        </w:tc>
        <w:tc>
          <w:tcPr>
            <w:tcW w:w="228"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w:t>
            </w:r>
          </w:p>
        </w:tc>
        <w:tc>
          <w:tcPr>
            <w:tcW w:w="22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Underwriting loss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w:t>
            </w:r>
          </w:p>
        </w:tc>
        <w:tc>
          <w:tcPr>
            <w:tcW w:w="22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6"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00" w:after="12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Underwriting loss by business unit is detailed in the table below for Diversified Reinsurance business during the three and nine months ended September 30, 2025:</w:t>
      </w:r>
    </w:p>
    <w:tbl>
      <w:tblPr>
        <w:tblW w:w="9779" w:type="dxa"/>
        <w:jc w:val="center"/>
        <w:tblInd w:w="0" w:type="dxa"/>
        <w:tblLayout w:type="fixed"/>
        <w:tblCellMar>
          <w:top w:w="28" w:type="dxa"/>
          <w:left w:w="28" w:type="dxa"/>
          <w:bottom w:w="28" w:type="dxa"/>
          <w:right w:w="28" w:type="dxa"/>
        </w:tblCellMar>
      </w:tblPr>
      <w:tblGrid>
        <w:gridCol w:w="587"/>
        <w:gridCol w:w="516"/>
        <w:gridCol w:w="517"/>
        <w:gridCol w:w="109"/>
        <w:gridCol w:w="109"/>
        <w:gridCol w:w="109"/>
        <w:gridCol w:w="515"/>
        <w:gridCol w:w="1689"/>
        <w:gridCol w:w="266"/>
        <w:gridCol w:w="266"/>
        <w:gridCol w:w="266"/>
        <w:gridCol w:w="266"/>
        <w:gridCol w:w="109"/>
        <w:gridCol w:w="3181"/>
        <w:gridCol w:w="211"/>
        <w:gridCol w:w="691"/>
        <w:gridCol w:w="109"/>
        <w:gridCol w:w="109"/>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318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1274" w:type="dxa"/>
            <w:gridSpan w:val="5"/>
            <w:tcBorders/>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26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0"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run-off lines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6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Underwriting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pPr>
      <w:r>
        <w:rPr>
          <w:rFonts w:ascii="Times New Roman;serif" w:hAnsi="Times New Roman;serif"/>
          <w:b/>
          <w:i/>
          <w:color w:val="000000"/>
          <w:sz w:val="20"/>
        </w:rPr>
        <w:t>Premiums</w:t>
      </w:r>
      <w:r>
        <w:rPr>
          <w:color w:val="000000"/>
        </w:rPr>
        <w:t xml:space="preserve"> — </w:t>
      </w:r>
      <w:r>
        <w:rPr>
          <w:rFonts w:ascii="Times New Roman;serif" w:hAnsi="Times New Roman;serif"/>
          <w:b w:val="false"/>
          <w:color w:val="000000"/>
          <w:sz w:val="20"/>
        </w:rPr>
        <w:t xml:space="preserve">As discussed in the </w:t>
      </w:r>
      <w:r>
        <w:rPr>
          <w:rFonts w:ascii="Times New Roman;serif" w:hAnsi="Times New Roman;serif"/>
          <w:b w:val="false"/>
          <w:i/>
          <w:color w:val="000000"/>
          <w:sz w:val="20"/>
        </w:rPr>
        <w:t>"Overview"</w:t>
      </w:r>
      <w:r>
        <w:rPr>
          <w:color w:val="000000"/>
        </w:rPr>
        <w:t xml:space="preserve"> </w:t>
      </w:r>
      <w:r>
        <w:rPr>
          <w:rFonts w:ascii="Times New Roman;serif" w:hAnsi="Times New Roman;serif"/>
          <w:b w:val="false"/>
          <w:color w:val="000000"/>
          <w:sz w:val="20"/>
        </w:rPr>
        <w:t xml:space="preserve">section, Maiden LF and Maiden GF are not writing any new business and have entered into the AmTrust Renewal Rights Agreements which cover certain programs of Maiden LF and Maiden GF's primary business written in Sweden, Norway, other Nordic countries, the United Kingdom and Ireland. Maiden LF and Maiden GF are presently the principal operating subsidiaries of the Company’s IIS platform; therefore we will continue to experience limited premium written for 2025 in the Diversified Reinsurance Legacy Business. </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Please refer to </w:t>
      </w:r>
      <w:r>
        <w:rPr>
          <w:rFonts w:ascii="Times New Roman;serif" w:hAnsi="Times New Roman;serif"/>
          <w:b w:val="false"/>
          <w:i/>
          <w:color w:val="000000"/>
          <w:sz w:val="20"/>
        </w:rPr>
        <w:t xml:space="preserve">Note 14. Assets Held for Sale </w:t>
      </w:r>
      <w:r>
        <w:rPr>
          <w:rFonts w:ascii="Times New Roman;serif" w:hAnsi="Times New Roman;serif"/>
          <w:b w:val="false"/>
          <w:color w:val="000000"/>
          <w:sz w:val="20"/>
        </w:rPr>
        <w:t xml:space="preserve">of the Notes to Condensed Consolidated Financial Statements under Part I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for more details.</w:t>
      </w:r>
    </w:p>
    <w:p>
      <w:pPr>
        <w:pStyle w:val="TextBody"/>
        <w:bidi w:val="0"/>
        <w:spacing w:lineRule="auto" w:line="240" w:before="0" w:after="120"/>
        <w:ind w:left="0" w:right="0" w:firstLine="270"/>
        <w:jc w:val="both"/>
        <w:rPr/>
      </w:pPr>
      <w:r>
        <w:rPr>
          <w:rFonts w:ascii="Times New Roman;serif" w:hAnsi="Times New Roman;serif"/>
          <w:b/>
          <w:i/>
          <w:color w:val="000000"/>
          <w:sz w:val="20"/>
        </w:rPr>
        <w:t>Net Loss and LAE</w:t>
      </w:r>
      <w:r>
        <w:rPr>
          <w:color w:val="000000"/>
        </w:rPr>
        <w:t xml:space="preserve"> — </w:t>
      </w:r>
      <w:r>
        <w:rPr>
          <w:rFonts w:ascii="Times New Roman;serif" w:hAnsi="Times New Roman;serif"/>
          <w:b w:val="false"/>
          <w:color w:val="000000"/>
          <w:sz w:val="20"/>
        </w:rPr>
        <w:t>Net loss and LAE incurred in the three and nine months ended September 30, 2025 were $1.5 million and $2.3 million, respectively. The net incurred losses were impacted by net favorable PPD of $0.3 million and $0.2 million for the three and nine months ended September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40" w:before="0" w:after="120"/>
        <w:ind w:left="0" w:right="0" w:firstLine="270"/>
        <w:jc w:val="both"/>
        <w:rPr/>
      </w:pPr>
      <w:r>
        <w:rPr>
          <w:rFonts w:ascii="Times New Roman;serif" w:hAnsi="Times New Roman;serif"/>
          <w:b/>
          <w:i/>
          <w:color w:val="000000"/>
          <w:sz w:val="20"/>
        </w:rPr>
        <w:t>Commission and Other Acquisition Expenses</w:t>
      </w:r>
      <w:r>
        <w:rPr>
          <w:color w:val="000000"/>
        </w:rPr>
        <w:t xml:space="preserve"> — </w:t>
      </w:r>
      <w:r>
        <w:rPr>
          <w:rFonts w:ascii="Times New Roman;serif" w:hAnsi="Times New Roman;serif"/>
          <w:b w:val="false"/>
          <w:color w:val="000000"/>
          <w:sz w:val="20"/>
        </w:rPr>
        <w:t>Commission and other acquisition expenses incurred in the three and nine months ended September 30, 2025 were $1.4 million and $1.7 million, respectively. This is driven by lower premiums written and earned by Maiden LF and GF as they are not writing any new business having entered into the AmTrust Renewal Rights Agreements in 2024.</w:t>
      </w:r>
    </w:p>
    <w:p>
      <w:pPr>
        <w:pStyle w:val="TextBody"/>
        <w:bidi w:val="0"/>
        <w:spacing w:lineRule="auto" w:line="240" w:before="0" w:after="120"/>
        <w:ind w:left="0" w:right="0" w:firstLine="270"/>
        <w:jc w:val="both"/>
        <w:rPr/>
      </w:pPr>
      <w:r>
        <w:rPr>
          <w:rFonts w:ascii="Times New Roman;serif" w:hAnsi="Times New Roman;serif"/>
          <w:b/>
          <w:i/>
          <w:color w:val="000000"/>
          <w:sz w:val="20"/>
        </w:rPr>
        <w:t>General and Administrative Expenses</w:t>
      </w:r>
      <w:r>
        <w:rPr>
          <w:color w:val="000000"/>
        </w:rPr>
        <w:t xml:space="preserve"> — </w:t>
      </w:r>
      <w:r>
        <w:rPr>
          <w:rFonts w:ascii="Times New Roman;serif" w:hAnsi="Times New Roman;serif"/>
          <w:b w:val="false"/>
          <w:color w:val="000000"/>
          <w:sz w:val="20"/>
        </w:rPr>
        <w:t>General and administrative expenses incurred in the three and nine months ended September 30, 2025 were $2.4 million and $3.7 million, respectively.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 xml:space="preserve">AmTrust Reinsurance Legacy Business: </w:t>
      </w:r>
      <w:r>
        <w:rPr>
          <w:rFonts w:ascii="Times New Roman;serif" w:hAnsi="Times New Roman;serif"/>
          <w:b w:val="false"/>
          <w:color w:val="000000"/>
          <w:sz w:val="20"/>
        </w:rPr>
        <w:t>The underwriting results for AmTrust Reinsurance Legacy business for the three and nine months ended September 30, 2025 were as follows:</w:t>
      </w:r>
    </w:p>
    <w:tbl>
      <w:tblPr>
        <w:tblW w:w="10205" w:type="dxa"/>
        <w:jc w:val="left"/>
        <w:tblInd w:w="0" w:type="dxa"/>
        <w:tblLayout w:type="fixed"/>
        <w:tblCellMar>
          <w:top w:w="28" w:type="dxa"/>
          <w:left w:w="28" w:type="dxa"/>
          <w:bottom w:w="28" w:type="dxa"/>
          <w:right w:w="28" w:type="dxa"/>
        </w:tblCellMar>
      </w:tblPr>
      <w:tblGrid>
        <w:gridCol w:w="1177"/>
        <w:gridCol w:w="963"/>
        <w:gridCol w:w="967"/>
        <w:gridCol w:w="109"/>
        <w:gridCol w:w="109"/>
        <w:gridCol w:w="109"/>
        <w:gridCol w:w="445"/>
        <w:gridCol w:w="1446"/>
        <w:gridCol w:w="229"/>
        <w:gridCol w:w="229"/>
        <w:gridCol w:w="229"/>
        <w:gridCol w:w="229"/>
        <w:gridCol w:w="109"/>
        <w:gridCol w:w="2650"/>
        <w:gridCol w:w="211"/>
        <w:gridCol w:w="616"/>
        <w:gridCol w:w="109"/>
        <w:gridCol w:w="109"/>
        <w:gridCol w:w="160"/>
      </w:tblGrid>
      <w:tr>
        <w:trPr/>
        <w:tc>
          <w:tcPr>
            <w:tcW w:w="117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650"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1205" w:type="dxa"/>
            <w:gridSpan w:val="5"/>
            <w:tcBorders/>
          </w:tcPr>
          <w:p>
            <w:pPr>
              <w:pStyle w:val="TableContents"/>
              <w:bidi w:val="0"/>
              <w:spacing w:before="0" w:after="283"/>
              <w:jc w:val="left"/>
              <w:rPr>
                <w:sz w:val="4"/>
                <w:szCs w:val="4"/>
              </w:rPr>
            </w:pPr>
            <w:r>
              <w:rPr>
                <w:sz w:val="4"/>
                <w:szCs w:val="4"/>
              </w:rPr>
            </w:r>
          </w:p>
        </w:tc>
      </w:tr>
      <w:tr>
        <w:trPr/>
        <w:tc>
          <w:tcPr>
            <w:tcW w:w="3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2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2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2,960 </w:t>
            </w:r>
          </w:p>
        </w:tc>
        <w:tc>
          <w:tcPr>
            <w:tcW w:w="22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loss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Commission and other acquisition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22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Underwriting loss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(7,609)</w:t>
            </w:r>
          </w:p>
        </w:tc>
        <w:tc>
          <w:tcPr>
            <w:tcW w:w="22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0"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nominal written premiums for the three and nine months ended September 30, 2025 reflect the termination of the AmTrust Quota Share and the European Hospital Liability Quota Share as of January 1, 2019 which has resulted in no new business written under these contracts since 2018.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provides detail on net premiums earned in the three and nine months ended September 30, 2025: </w:t>
      </w:r>
    </w:p>
    <w:tbl>
      <w:tblPr>
        <w:tblW w:w="5682" w:type="dxa"/>
        <w:jc w:val="center"/>
        <w:tblInd w:w="0" w:type="dxa"/>
        <w:tblLayout w:type="fixed"/>
        <w:tblCellMar>
          <w:top w:w="28" w:type="dxa"/>
          <w:left w:w="28" w:type="dxa"/>
          <w:bottom w:w="28" w:type="dxa"/>
          <w:right w:w="28" w:type="dxa"/>
        </w:tblCellMar>
      </w:tblPr>
      <w:tblGrid>
        <w:gridCol w:w="1190"/>
        <w:gridCol w:w="1045"/>
        <w:gridCol w:w="1049"/>
        <w:gridCol w:w="109"/>
        <w:gridCol w:w="109"/>
        <w:gridCol w:w="109"/>
        <w:gridCol w:w="211"/>
        <w:gridCol w:w="616"/>
        <w:gridCol w:w="109"/>
        <w:gridCol w:w="109"/>
        <w:gridCol w:w="109"/>
        <w:gridCol w:w="109"/>
        <w:gridCol w:w="109"/>
        <w:gridCol w:w="109"/>
        <w:gridCol w:w="109"/>
        <w:gridCol w:w="109"/>
        <w:gridCol w:w="109"/>
        <w:gridCol w:w="109"/>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Net Premiums Earned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Small Commercial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Specialty Risk and Extended Warranty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AmTrust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Small Commercial Business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Specialty Risk and Extended Warranty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AmTrust Reinsurance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4" w:before="0" w:after="0"/>
        <w:ind w:left="0" w:right="0" w:firstLine="270"/>
        <w:jc w:val="both"/>
        <w:rPr/>
      </w:pPr>
      <w:r>
        <w:rPr>
          <w:rFonts w:ascii="Times New Roman;serif" w:hAnsi="Times New Roman;serif"/>
          <w:b/>
          <w:i/>
          <w:color w:val="000000"/>
          <w:sz w:val="20"/>
        </w:rPr>
        <w:t>Net Loss and LAE</w:t>
      </w:r>
      <w:r>
        <w:rPr>
          <w:color w:val="000000"/>
        </w:rPr>
        <w:t xml:space="preserve"> — </w:t>
      </w:r>
      <w:r>
        <w:rPr>
          <w:rFonts w:ascii="Times New Roman;serif" w:hAnsi="Times New Roman;serif"/>
          <w:b w:val="false"/>
          <w:color w:val="000000"/>
          <w:sz w:val="20"/>
        </w:rPr>
        <w:t xml:space="preserve">Net loss and LAE expenses incurred for the three and nine months ended September 30, 2025 were $8.9 million and $2.1 million, respectively. Net incurred losses for the three and nine months ended September 30, 2025 were impacted by adverse PPD of $6.9 million and favorable PPD of $1.0 million, respectively. </w:t>
      </w:r>
    </w:p>
    <w:p>
      <w:pPr>
        <w:pStyle w:val="TextBody"/>
        <w:bidi w:val="0"/>
        <w:spacing w:lineRule="auto" w:line="240" w:before="12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shows total PPD for the AmTrust Reinsurance Legacy business for the three and nine months ended September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37"/>
        <w:gridCol w:w="1057"/>
        <w:gridCol w:w="1044"/>
        <w:gridCol w:w="109"/>
        <w:gridCol w:w="109"/>
        <w:gridCol w:w="109"/>
        <w:gridCol w:w="607"/>
        <w:gridCol w:w="1981"/>
        <w:gridCol w:w="313"/>
        <w:gridCol w:w="109"/>
        <w:gridCol w:w="109"/>
        <w:gridCol w:w="109"/>
        <w:gridCol w:w="109"/>
        <w:gridCol w:w="109"/>
        <w:gridCol w:w="591"/>
        <w:gridCol w:w="1930"/>
        <w:gridCol w:w="305"/>
        <w:gridCol w:w="109"/>
        <w:gridCol w:w="159"/>
      </w:tblGrid>
      <w:tr>
        <w:trPr/>
        <w:tc>
          <w:tcPr>
            <w:tcW w:w="123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268" w:type="dxa"/>
            <w:gridSpan w:val="2"/>
            <w:tcBorders/>
          </w:tcPr>
          <w:p>
            <w:pPr>
              <w:pStyle w:val="TableContents"/>
              <w:bidi w:val="0"/>
              <w:spacing w:before="0" w:after="283"/>
              <w:jc w:val="left"/>
              <w:rPr>
                <w:sz w:val="4"/>
                <w:szCs w:val="4"/>
              </w:rPr>
            </w:pPr>
            <w:r>
              <w:rPr>
                <w:sz w:val="4"/>
                <w:szCs w:val="4"/>
              </w:rPr>
            </w:r>
          </w:p>
        </w:tc>
      </w:tr>
      <w:tr>
        <w:trPr/>
        <w:tc>
          <w:tcPr>
            <w:tcW w:w="3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38"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Prior Year Loss Development adverse (favorable)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7"/>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03" w:type="dxa"/>
            <w:gridSpan w:val="6"/>
            <w:tcBorders/>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AmTrust Quota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35"/>
              <w:jc w:val="left"/>
              <w:rPr>
                <w:sz w:val="4"/>
                <w:szCs w:val="4"/>
              </w:rPr>
            </w:pPr>
            <w:r>
              <w:rPr>
                <w:sz w:val="4"/>
                <w:szCs w:val="4"/>
              </w:rPr>
            </w:r>
          </w:p>
        </w:tc>
      </w:tr>
      <w:tr>
        <w:trPr/>
        <w:tc>
          <w:tcPr>
            <w:tcW w:w="333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LPT/ADC Agreement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3,601 </w:t>
            </w:r>
          </w:p>
        </w:tc>
        <w:tc>
          <w:tcPr>
            <w:tcW w:w="31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30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35"/>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Hospital Liability Quota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35"/>
              <w:jc w:val="left"/>
              <w:rPr>
                <w:sz w:val="4"/>
                <w:szCs w:val="4"/>
              </w:rPr>
            </w:pPr>
            <w:r>
              <w:rPr>
                <w:sz w:val="4"/>
                <w:szCs w:val="4"/>
              </w:rPr>
            </w:r>
          </w:p>
        </w:tc>
      </w:tr>
      <w:tr>
        <w:trPr/>
        <w:tc>
          <w:tcPr>
            <w:tcW w:w="3338"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AmTrust Prior Year Development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6,911 </w:t>
            </w:r>
          </w:p>
        </w:tc>
        <w:tc>
          <w:tcPr>
            <w:tcW w:w="313"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3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w:t>
            </w:r>
          </w:p>
        </w:tc>
        <w:tc>
          <w:tcPr>
            <w:tcW w:w="305"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incurred losses for the three and nine months ended September 30, 2025 included adverse PPD of $6.9 million and favorable PPD of $1.0 million, respectively. Total PPD was largely due to additional development recognized on European Hospital Liability business due to adjustments for certain death claims and a reduction in recoveries anticipated under the LPT/ADC Agreement, which were partially offset by favorable development on worker's compensation and other lines of business in the AmTrust Quota Share.</w:t>
      </w:r>
    </w:p>
    <w:p>
      <w:pPr>
        <w:pStyle w:val="TextBody"/>
        <w:bidi w:val="0"/>
        <w:spacing w:lineRule="auto" w:line="240" w:before="0" w:after="120"/>
        <w:ind w:left="0" w:right="0" w:firstLine="270"/>
        <w:jc w:val="both"/>
        <w:rPr/>
      </w:pPr>
      <w:r>
        <w:rPr>
          <w:rFonts w:ascii="Times New Roman;serif" w:hAnsi="Times New Roman;serif"/>
          <w:b/>
          <w:i/>
          <w:color w:val="000000"/>
          <w:sz w:val="20"/>
        </w:rPr>
        <w:t>Commission and Other Acquisition Expenses</w:t>
      </w:r>
      <w:r>
        <w:rPr>
          <w:color w:val="000000"/>
        </w:rPr>
        <w:t xml:space="preserve"> — </w:t>
      </w:r>
      <w:r>
        <w:rPr>
          <w:rFonts w:ascii="Times New Roman;serif" w:hAnsi="Times New Roman;serif"/>
          <w:b w:val="false"/>
          <w:color w:val="000000"/>
          <w:sz w:val="20"/>
        </w:rPr>
        <w:t xml:space="preserve">Commission and other acquisition expenses incurred in the three and nine months ended September 30, 2025 were $0.4 million and $0.4 million, respectively. </w:t>
      </w:r>
    </w:p>
    <w:p>
      <w:pPr>
        <w:pStyle w:val="TextBody"/>
        <w:bidi w:val="0"/>
        <w:spacing w:lineRule="auto" w:line="240" w:before="0" w:after="240"/>
        <w:ind w:left="0" w:right="0" w:firstLine="270"/>
        <w:jc w:val="both"/>
        <w:rPr/>
      </w:pPr>
      <w:r>
        <w:rPr>
          <w:rFonts w:ascii="Times New Roman;serif" w:hAnsi="Times New Roman;serif"/>
          <w:b/>
          <w:i/>
          <w:color w:val="000000"/>
          <w:sz w:val="20"/>
        </w:rPr>
        <w:t>General and Administrative Expenses</w:t>
      </w:r>
      <w:r>
        <w:rPr>
          <w:color w:val="000000"/>
        </w:rPr>
        <w:t xml:space="preserve"> — </w:t>
      </w:r>
      <w:r>
        <w:rPr>
          <w:rFonts w:ascii="Times New Roman;serif" w:hAnsi="Times New Roman;serif"/>
          <w:b w:val="false"/>
          <w:color w:val="000000"/>
          <w:sz w:val="20"/>
        </w:rPr>
        <w:t>General and administrative expenses incurred in the three and nine months ended September 30, 2025 were $1.3 million and $1.8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40" w:before="120" w:after="12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 xml:space="preserve">Liquidity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Kestrel Group is a holding company and transacts no business of its own. We therefore rely on cash flows in the form of dividends, advances, loans and other permitted distributions from our subsidiary companies to pay expenses and make dividend payments on our common shares. The jurisdictions in which our operating subsidiaries are licensed to write business impose regulations requiring companies to maintain or meet statutory solvency and liquidity requirements and also place restrictions on the declaration and payment of dividends and other distributions.</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As a result of the completion of the Combination on May 27, 2025, the Company has acquired significant investable assets and additional sources of investment income from Maiden as discussed in </w:t>
      </w:r>
      <w:r>
        <w:rPr>
          <w:rFonts w:ascii="Times New Roman;serif" w:hAnsi="Times New Roman;serif"/>
          <w:b w:val="false"/>
          <w:i/>
          <w:color w:val="000000"/>
          <w:sz w:val="20"/>
        </w:rPr>
        <w:t>Part I, Item 1 - Notes to Condensed Consolidated Financial Statements (unaudited) "Note 4. Investments</w:t>
      </w:r>
      <w:r>
        <w:rPr>
          <w:rFonts w:ascii="Times New Roman;serif" w:hAnsi="Times New Roman;serif"/>
          <w:b w:val="false"/>
          <w:color w:val="000000"/>
          <w:sz w:val="20"/>
        </w:rPr>
        <w:t xml:space="preserve">" and </w:t>
      </w:r>
      <w:r>
        <w:rPr>
          <w:rFonts w:ascii="Times New Roman;serif" w:hAnsi="Times New Roman;serif"/>
          <w:b w:val="false"/>
          <w:i/>
          <w:color w:val="000000"/>
          <w:sz w:val="20"/>
        </w:rPr>
        <w:t>"Note 15. Business Combination"</w:t>
      </w:r>
      <w:r>
        <w:rPr>
          <w:color w:val="000000"/>
        </w:rPr>
        <w:t xml:space="preserve"> </w:t>
      </w:r>
      <w:r>
        <w:rPr>
          <w:rFonts w:ascii="Times New Roman;serif" w:hAnsi="Times New Roman;serif"/>
          <w:b w:val="false"/>
          <w:color w:val="000000"/>
          <w:sz w:val="20"/>
        </w:rPr>
        <w:t>included in this Form 10-Q. As of September 30, 2025, the Company had investable assets of $568.5 million compared to $4.3 million as of December 31, 2024. Investable assets include the combined total of our fixed maturity securities and other investments, cash and restricted cash including cash equivalents, net loan receivable from a related party and funds withheld receivable.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Maiden Reinsurance re-domesticated from Bermuda to Vermont on March 16, 2020. We are actively engaged with the Vermont DFR regarding Maiden Reinsurance's longer term business plan, including its investment policy, changes to which require prior regulatory approval as stipulated by Vermont law or the Vermont DFR for active underwriting, capital management or other strategic initiatives, including our Combination with Kestrel. Maiden Reinsurance has received all necessary approvals required to date by the Vermont DFR in respect of its business plan, including GLS activities and investment policy amendments made in 2021 and 2025.</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Maiden Reinsurance's Investment Policy, as approved and as amended by the Vermont DFR in the second quarter of 2025, maintains our established investment management and governance practices. The amended Investment Policy however includes significant modifications to this policy as follows: 1) Maiden Reinsurance will not purchase any additional affiliated securities, including common shares of the Company or senior notes issued by Maiden Holdings or Maiden NA; and 2) Maiden Reinsurance will make no new commitments for alternative assets, consistent with the practice it had already adopted ahead of this policy amendment. Maiden Reinsurance expects to fulfill its remaining commitments to existing investments, which totals $33.4 million in unfunded commitments as of September 30, 2025.</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2025, the Vermont DFR approved: 1) an annual dividend program to be paid by Maiden Reinsurance to Maiden NA, which requires prior approval by the Vermont DFR prior to payment of dividends under the program; and 2) an extraordinary dividend of $40.0 million and this dividend formed the basis for the consideration received by the Company's shareholders pursuant to the terms of the Combination Agreement.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To date, the Vermont DFR has approved all dividend requests under the current program, and during the nine months ended September 30, 2025, Maiden Reinsurance paid dividends of $21.3 million to Maiden NA as part of the approved annual dividend program. During the nine months ended September 30, 2025, Maiden NA did not pay any dividends to Maiden Holdings.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may experience continued volatility in our results of operations which could negatively impact our financial condition and create a reduction in the amount of available distribution or dividend capacity from our regulated reinsurance subsidiaries, which would also reduce liquidity. Further, we and our insurance subsidiaries may need additional capital to maintain compliance with regulatory capital requirements and/or be required to post additional collateral under existing reinsurance arrangements, which could reduce our liquidity.</w:t>
      </w:r>
    </w:p>
    <w:p>
      <w:pPr>
        <w:pStyle w:val="TextBody"/>
        <w:bidi w:val="0"/>
        <w:spacing w:lineRule="auto" w:line="240" w:before="0" w:after="120"/>
        <w:jc w:val="both"/>
        <w:rPr>
          <w:rFonts w:ascii="Times New Roman;serif" w:hAnsi="Times New Roman;serif"/>
          <w:b w:val="false"/>
          <w:i/>
          <w:color w:val="000000"/>
          <w:sz w:val="20"/>
        </w:rPr>
      </w:pPr>
      <w:r>
        <w:rPr>
          <w:rFonts w:ascii="Times New Roman;serif" w:hAnsi="Times New Roman;serif"/>
          <w:b w:val="false"/>
          <w:i/>
          <w:color w:val="000000"/>
          <w:sz w:val="20"/>
        </w:rPr>
        <w:t>Operating, investing and financing cash flows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sources of funds historically have consisted of premium receipts net of commissions and brokerage, investment income, net proceeds from capital raising activities, and proceeds from sales, maturities, pay downs and redemption of investments. Cash is currently used primarily to pay loss and LAE, ceded reinsurance premium, general and administrative expenses, and interest expense, with the remainder in excess of our operating requirements made available to our investment managers for investment in accordance with our investment policy as well as for capital management such as repurchasing our shares.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we experienced negative operating cash flows as we run off the AmTrust Reinsurance Legacy Business reserves as shown in the cash flows table further below. We currently expect a trend of positive investing cash flows through 2025, and we will use funds from cash and investment portfolios, fee revenue premiums, investment income and proceeds from investment sales and redemptions to meet our expected claims payments and operational expenses. Claim payments will be principally from the run-off of existing reserves for loss and LAE. A significant portion of those liabilities are collateralized and claim payments will be funded by using this collateral which should provide sufficient funding to fulfill those obligations.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believes our current sources of liquidity are adequate to meet its cash requirements for the next twelve months as we generally expect operating cash flows to be sufficiently offset by investing cash flows. The consideration and related significant expenses associated with completing the combination has utilized substantial amounts of Maiden's current unrestricted liquidity. While we continue to expect our cash flows to be sufficient to meet our cash requirements and to operate our business, as our reinsurance liabilities continue to run-off our balance sheet increasingly consists of more illiquid securities which we are seeking to dispose of for more liquid assets. Our inability to monetize these illiquid assets on a timely basis while fulfilling our ongoing obligations may restrain our liquidity further and we may need to consider measures to ensure we continue to fulfill those obligations.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Further, while no new alternative asset commitments have been or will be made, Maiden's historical asset management strategy which was part of the Combination can be impacted by both investment specific and broader financial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conditions and may not produce the expected liquidity and cash flows these investments are designed to achieve, or the timing thereof may also be impacted by those factors.</w:t>
      </w:r>
    </w:p>
    <w:p>
      <w:pPr>
        <w:pStyle w:val="TextBody"/>
        <w:bidi w:val="0"/>
        <w:spacing w:lineRule="auto" w:line="240" w:before="6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2025, unrestricted cash, cash equivalents and fixed maturity investments were $27.6 million compared to $4.3 million held at December 31, 2024, an increase of $23.3 million during the nine months ended September 30, 2025. This was a result of the Combination on May 27, 2025, in which the Company acquired significant investable assets. Please see the related discussion on investing and financing cash flows below. The table below summarizes our operating, investing and financing cash flows for the nine months ended September 30, 2025 and 2024: </w:t>
      </w:r>
    </w:p>
    <w:tbl>
      <w:tblPr>
        <w:tblW w:w="8796" w:type="dxa"/>
        <w:jc w:val="center"/>
        <w:tblInd w:w="0" w:type="dxa"/>
        <w:tblLayout w:type="fixed"/>
        <w:tblCellMar>
          <w:top w:w="28" w:type="dxa"/>
          <w:left w:w="28" w:type="dxa"/>
          <w:bottom w:w="28" w:type="dxa"/>
          <w:right w:w="28" w:type="dxa"/>
        </w:tblCellMar>
      </w:tblPr>
      <w:tblGrid>
        <w:gridCol w:w="2162"/>
        <w:gridCol w:w="1901"/>
        <w:gridCol w:w="1907"/>
        <w:gridCol w:w="109"/>
        <w:gridCol w:w="109"/>
        <w:gridCol w:w="109"/>
        <w:gridCol w:w="211"/>
        <w:gridCol w:w="796"/>
        <w:gridCol w:w="109"/>
        <w:gridCol w:w="109"/>
        <w:gridCol w:w="109"/>
        <w:gridCol w:w="109"/>
        <w:gridCol w:w="211"/>
        <w:gridCol w:w="691"/>
        <w:gridCol w:w="154"/>
      </w:tblGrid>
      <w:tr>
        <w:trPr/>
        <w:tc>
          <w:tcPr>
            <w:tcW w:w="2162"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r>
      <w:tr>
        <w:trPr/>
        <w:tc>
          <w:tcPr>
            <w:tcW w:w="59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(30,436)</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foreign currency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increase (decrease) in cash, restricted cash and cash equivalents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34,472 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w:t>
            </w:r>
          </w:p>
        </w:tc>
        <w:tc>
          <w:tcPr>
            <w:tcW w:w="15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both"/>
        <w:rPr>
          <w:rFonts w:ascii="Times New Roman;serif" w:hAnsi="Times New Roman;serif"/>
          <w:b w:val="false"/>
          <w:i/>
          <w:color w:val="000000"/>
          <w:sz w:val="20"/>
        </w:rPr>
      </w:pPr>
      <w:r>
        <w:rPr>
          <w:rFonts w:ascii="Times New Roman;serif" w:hAnsi="Times New Roman;serif"/>
          <w:b w:val="false"/>
          <w:i/>
          <w:color w:val="000000"/>
          <w:sz w:val="20"/>
        </w:rPr>
        <w:t>Cash Flows used in Operating Activities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used in operating activities for the nine months ended September 30, 2025 was $30.4 million compared to cash flows used in operating activities of $1.1 million for the nine months ended September 30, 2024. The increase in cash used in operating activities for the nine months ended September 30, 2025 was due to claim payments for ongoing runoff of reinsurance liabilities. </w:t>
      </w:r>
    </w:p>
    <w:p>
      <w:pPr>
        <w:pStyle w:val="TextBody"/>
        <w:bidi w:val="0"/>
        <w:spacing w:lineRule="auto" w:line="240" w:before="0" w:after="120"/>
        <w:jc w:val="both"/>
        <w:rPr>
          <w:rFonts w:ascii="Times New Roman;serif" w:hAnsi="Times New Roman;serif"/>
          <w:b w:val="false"/>
          <w:i/>
          <w:color w:val="000000"/>
          <w:sz w:val="20"/>
        </w:rPr>
      </w:pPr>
      <w:r>
        <w:rPr>
          <w:rFonts w:ascii="Times New Roman;serif" w:hAnsi="Times New Roman;serif"/>
          <w:b w:val="false"/>
          <w:i/>
          <w:color w:val="000000"/>
          <w:sz w:val="20"/>
        </w:rPr>
        <w:t>Cash Flows provided by Investing Activities</w:t>
      </w:r>
    </w:p>
    <w:p>
      <w:pPr>
        <w:pStyle w:val="TextBody"/>
        <w:bidi w:val="0"/>
        <w:spacing w:lineRule="auto" w:line="228"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Cash provided by investing activities was $104.4 million for the nine months ended September 30, 2025 compared to net cash used in investing activities of $0.0 million for the same period in 2024. Cash flows provided by investing activities for the nine months ended September 30, 2025 was primarily due to $79.8 million of cash acquired from the purchase of Maiden business due to the Combination which closed on May 27, 2025.</w:t>
      </w:r>
    </w:p>
    <w:p>
      <w:pPr>
        <w:pStyle w:val="TextBody"/>
        <w:bidi w:val="0"/>
        <w:spacing w:lineRule="auto" w:line="228"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the proceeds from the sales, maturities and calls exceeded the purchases of fixed maturity securities by $24.9 million. The size of the fixed income investment portfolio will diminish as claims payments continue to be made in the runoff of existing loss reserves for the terminated AmTrust Quota Share and the European Hospital Liability Quota Share contracts. </w:t>
      </w:r>
    </w:p>
    <w:p>
      <w:pPr>
        <w:pStyle w:val="TextBody"/>
        <w:bidi w:val="0"/>
        <w:spacing w:lineRule="auto" w:line="228"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and 2024, investing cash flows included purchases of alternative investments which exceeded proceeds from the sales and redemptions. There were net purchases of $7.0 million for alternative investments during the nine months ended September 30, 2025 compared to net purchases of alternative investments of $0.0 million for the same period in 2024. These net purchases were mainly due to pre-existing commitments for private equity fund investments for the nine months ended September 30, 2025.</w:t>
      </w:r>
    </w:p>
    <w:p>
      <w:pPr>
        <w:pStyle w:val="TextBody"/>
        <w:bidi w:val="0"/>
        <w:spacing w:lineRule="auto" w:line="240" w:before="60" w:after="120"/>
        <w:jc w:val="both"/>
        <w:rPr>
          <w:rFonts w:ascii="Times New Roman;serif" w:hAnsi="Times New Roman;serif"/>
          <w:b w:val="false"/>
          <w:i/>
          <w:color w:val="000000"/>
          <w:sz w:val="20"/>
        </w:rPr>
      </w:pPr>
      <w:r>
        <w:rPr>
          <w:rFonts w:ascii="Times New Roman;serif" w:hAnsi="Times New Roman;serif"/>
          <w:b w:val="false"/>
          <w:i/>
          <w:color w:val="000000"/>
          <w:sz w:val="20"/>
        </w:rPr>
        <w:t>Cash Flows used in Financing Activities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used in financing activities were $40.0 million for the nine months ended September 30, 2025 compared to $0.0 million for the same period in 2024. This was due to cash dividends paid to Kestrel equityholders pursuant to the terms of the Combination Agreement which was completed on May 27, 2025. No dividends on common shares were paid during the nine months ended September 30, 2025 and 2024. </w:t>
      </w:r>
    </w:p>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 xml:space="preserve">Restrictions, Collateral and Specific Requirements </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As previously noted, as a result of the completion of the Combination with Maiden on May 27, 2025, the Company has acquired significant investable assets and additional sources of investment income in addition to considerable loss reserves and unearned premiums under legacy reinsurance contracts as discussed in </w:t>
      </w:r>
      <w:r>
        <w:rPr>
          <w:rFonts w:ascii="Times New Roman;serif" w:hAnsi="Times New Roman;serif"/>
          <w:b w:val="false"/>
          <w:i/>
          <w:color w:val="000000"/>
          <w:sz w:val="20"/>
        </w:rPr>
        <w:t>Part I, Item 1 - Notes to Condensed Consolidated Financial Statements (unaudited) "Note 4. Investments</w:t>
      </w:r>
      <w:r>
        <w:rPr>
          <w:rFonts w:ascii="Times New Roman;serif" w:hAnsi="Times New Roman;serif"/>
          <w:b w:val="false"/>
          <w:color w:val="000000"/>
          <w:sz w:val="20"/>
        </w:rPr>
        <w:t xml:space="preserve">", </w:t>
      </w:r>
      <w:r>
        <w:rPr>
          <w:rFonts w:ascii="Times New Roman;serif" w:hAnsi="Times New Roman;serif"/>
          <w:b w:val="false"/>
          <w:i/>
          <w:color w:val="000000"/>
          <w:sz w:val="20"/>
        </w:rPr>
        <w:t>"Note 9. Reserve for Loss and Loss Adjustment Expenses"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"Note 15. Business Combination"</w:t>
      </w:r>
      <w:r>
        <w:rPr>
          <w:color w:val="000000"/>
        </w:rPr>
        <w:t xml:space="preserve"> </w:t>
      </w:r>
      <w:r>
        <w:rPr>
          <w:rFonts w:ascii="Times New Roman;serif" w:hAnsi="Times New Roman;serif"/>
          <w:b w:val="false"/>
          <w:color w:val="000000"/>
          <w:sz w:val="20"/>
        </w:rPr>
        <w:t>included in this Form 10-Q. Pursuant to the terms of the underlying reinsurance contracts associated with these liabilities, Maiden Reinsurance is required in certain instances to provide collateral in various forms as security against performance to satisfy those obligations. Those collateral obligations remain with Maiden Reinsurance after completion of the Combination.</w:t>
      </w:r>
    </w:p>
    <w:p>
      <w:pPr>
        <w:pStyle w:val="TextBody"/>
        <w:bidi w:val="0"/>
        <w:spacing w:lineRule="auto" w:line="240" w:before="0" w:after="120"/>
        <w:ind w:left="0" w:right="0" w:firstLine="270"/>
        <w:jc w:val="both"/>
        <w:rPr/>
      </w:pPr>
      <w:r>
        <w:rPr>
          <w:rFonts w:ascii="Times New Roman;serif" w:hAnsi="Times New Roman;serif"/>
          <w:b w:val="false"/>
          <w:color w:val="000000"/>
          <w:sz w:val="20"/>
        </w:rPr>
        <w:t>The Company's restrictions, collateral and specific requirements are discussed in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section. Please also refer to "</w:t>
      </w:r>
      <w:r>
        <w:rPr>
          <w:rFonts w:ascii="Times New Roman;serif" w:hAnsi="Times New Roman;serif"/>
          <w:b w:val="false"/>
          <w:i/>
          <w:color w:val="000000"/>
          <w:sz w:val="20"/>
        </w:rPr>
        <w:t xml:space="preserve">Part I, Item 1 - Notes to Condensed Consolidated Financial Statements (unaudited) </w:t>
      </w:r>
      <w:r>
        <w:rPr>
          <w:rFonts w:ascii="Times New Roman;serif" w:hAnsi="Times New Roman;serif"/>
          <w:b w:val="false"/>
          <w:color w:val="000000"/>
          <w:sz w:val="20"/>
        </w:rPr>
        <w:t xml:space="preserve">included in this Form 10-Q for details of fair values for collateral requirements and restricted assets at September 30, 2025 particularly in these notes: </w:t>
      </w:r>
      <w:r>
        <w:rPr>
          <w:rFonts w:ascii="Times New Roman;serif" w:hAnsi="Times New Roman;serif"/>
          <w:b w:val="false"/>
          <w:i/>
          <w:color w:val="000000"/>
          <w:sz w:val="20"/>
        </w:rPr>
        <w:t xml:space="preserve">Note 4.(e) Restricted Cash, Cash Equivalents and Investments; Note 8. Reinsurance; </w:t>
      </w:r>
      <w:r>
        <w:rPr>
          <w:rFonts w:ascii="Times New Roman;serif" w:hAnsi="Times New Roman;serif"/>
          <w:b w:val="false"/>
          <w:color w:val="000000"/>
          <w:sz w:val="20"/>
        </w:rPr>
        <w:t xml:space="preserve">and </w:t>
      </w:r>
      <w:r>
        <w:rPr>
          <w:rFonts w:ascii="Times New Roman;serif" w:hAnsi="Times New Roman;serif"/>
          <w:b w:val="false"/>
          <w:i/>
          <w:color w:val="000000"/>
          <w:sz w:val="20"/>
        </w:rPr>
        <w:t>Note 10. Related Party Transactions.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restricted cash and cash equivalents and fixed maturity investments used as collateral were $211.6 million and $0.0 million, respectively. This collateral represents 88.5% and 0.0% of the fair value of total fixed maturity investments, cash, restricted cash and cash equivalents at September 30,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 xml:space="preserve">Cash and Investments </w:t>
      </w:r>
    </w:p>
    <w:p>
      <w:pPr>
        <w:pStyle w:val="TextBody"/>
        <w:bidi w:val="0"/>
        <w:spacing w:lineRule="auto" w:line="240" w:before="0" w:after="0"/>
        <w:ind w:left="0" w:right="0" w:firstLine="270"/>
        <w:jc w:val="both"/>
        <w:rPr/>
      </w:pPr>
      <w:r>
        <w:rPr>
          <w:rFonts w:ascii="Times New Roman;serif" w:hAnsi="Times New Roman;serif"/>
          <w:b w:val="false"/>
          <w:color w:val="000000"/>
          <w:sz w:val="20"/>
        </w:rPr>
        <w:t xml:space="preserve">As a result of the completion of the Combination on May 27, 2025, the Company has acquired significant investable assets and additional sources of investment income as discussed in </w:t>
      </w:r>
      <w:r>
        <w:rPr>
          <w:rFonts w:ascii="Times New Roman;serif" w:hAnsi="Times New Roman;serif"/>
          <w:b w:val="false"/>
          <w:i/>
          <w:color w:val="000000"/>
          <w:sz w:val="20"/>
        </w:rPr>
        <w:t>Part I, Item 1 - Notes to Condensed Consolidated Financial Statements (unaudited) "Note 4. Investments</w:t>
      </w:r>
      <w:r>
        <w:rPr>
          <w:rFonts w:ascii="Times New Roman;serif" w:hAnsi="Times New Roman;serif"/>
          <w:b w:val="false"/>
          <w:color w:val="000000"/>
          <w:sz w:val="20"/>
        </w:rPr>
        <w:t xml:space="preserve">" and </w:t>
      </w:r>
      <w:r>
        <w:rPr>
          <w:rFonts w:ascii="Times New Roman;serif" w:hAnsi="Times New Roman;serif"/>
          <w:b w:val="false"/>
          <w:i/>
          <w:color w:val="000000"/>
          <w:sz w:val="20"/>
        </w:rPr>
        <w:t>"Note 15. Business Combination"</w:t>
      </w:r>
      <w:r>
        <w:rPr>
          <w:color w:val="000000"/>
        </w:rPr>
        <w:t xml:space="preserve"> </w:t>
      </w:r>
      <w:r>
        <w:rPr>
          <w:rFonts w:ascii="Times New Roman;serif" w:hAnsi="Times New Roman;serif"/>
          <w:b w:val="false"/>
          <w:color w:val="000000"/>
          <w:sz w:val="20"/>
        </w:rPr>
        <w:t xml:space="preserve">included in this Form 10-Q. </w:t>
      </w:r>
    </w:p>
    <w:p>
      <w:pPr>
        <w:pStyle w:val="TextBody"/>
        <w:bidi w:val="0"/>
        <w:spacing w:before="0" w:after="0"/>
        <w:ind w:left="0" w:right="0" w:firstLine="270"/>
        <w:jc w:val="both"/>
        <w:rPr/>
      </w:pPr>
      <w:r>
        <w:rPr/>
      </w:r>
    </w:p>
    <w:p>
      <w:pPr>
        <w:pStyle w:val="TextBody"/>
        <w:bidi w:val="0"/>
        <w:spacing w:lineRule="auto" w:line="240" w:before="0" w:after="120"/>
        <w:ind w:left="0" w:right="0" w:firstLine="270"/>
        <w:jc w:val="both"/>
        <w:rPr/>
      </w:pPr>
      <w:r>
        <w:rPr>
          <w:rFonts w:ascii="Times New Roman;serif" w:hAnsi="Times New Roman;serif"/>
          <w:b w:val="false"/>
          <w:color w:val="000000"/>
          <w:sz w:val="20"/>
        </w:rPr>
        <w:t>As a result, the substantial majority of our current investments are held by Maiden Reinsurance, whose amended investment policy was approved by the Vermont DFR, as noted. As of September 30, 2025, Maiden Reinsurance owned 22.4% of our total outstanding common shares which is eliminated for accounting and financial reporting purposes on our condensed consolidated financial statements.</w:t>
      </w:r>
      <w:r>
        <w:rPr>
          <w:color w:val="000000"/>
        </w:rPr>
        <w:t xml:space="preserve"> </w:t>
      </w:r>
      <w:r>
        <w:rPr>
          <w:rFonts w:ascii="Times New Roman;serif" w:hAnsi="Times New Roman;serif"/>
          <w:b w:val="false"/>
          <w:color w:val="000000"/>
          <w:sz w:val="20"/>
        </w:rPr>
        <w:t>The voting power of Maiden Reinsurance, with respect to its common shares, was previously capped at 9.5% pursuant to the Maiden's bye-laws; however Maiden's shareholders approved the proposal to remove the 9.5% voting limitation on all shareholders at its Special Meeting on April 29, 2025. Treasury shares include 2,237,534 common shares owned by Maiden Reinsurance which are not treated as outstanding common shares on the Condensed Consolidated Balance Sheet at September 30, 2025. The market value of our common shares held by Maiden Reinsurance was $61.1 million at September 30, 2025.</w:t>
      </w:r>
    </w:p>
    <w:p>
      <w:pPr>
        <w:pStyle w:val="TextBody"/>
        <w:bidi w:val="0"/>
        <w:spacing w:lineRule="auto" w:line="240" w:before="0" w:after="0"/>
        <w:ind w:left="0" w:right="0" w:firstLine="270"/>
        <w:jc w:val="both"/>
        <w:rPr/>
      </w:pPr>
      <w:r>
        <w:rPr>
          <w:rFonts w:ascii="Times New Roman;serif" w:hAnsi="Times New Roman;serif"/>
          <w:b w:val="false"/>
          <w:color w:val="000000"/>
          <w:sz w:val="20"/>
        </w:rPr>
        <w:t>Accordingly, our fixed income investment portfolio is invested in liquid, investment-grade fixed maturity securities which are all designated as AFS at September 30, 2025. Further, as Maiden's insurance liabilities continue to run-off and the required capital to operate its business for regulatory purposes decreased, as previously discussed Maiden had expanded Maiden Reinsurance’s investment policy, which had been approved by the Vermont DFR. Under this investment policy, Maiden expanded the range of asset classes it invested in to enhance the income and total returns its investment portfolio produces. We categorize these investments as alternative investments which include "</w:t>
      </w:r>
      <w:r>
        <w:rPr>
          <w:rFonts w:ascii="Times New Roman;serif" w:hAnsi="Times New Roman;serif"/>
          <w:b w:val="false"/>
          <w:i/>
          <w:color w:val="000000"/>
          <w:sz w:val="20"/>
        </w:rPr>
        <w:t>Other Investments</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"Equity Method Investments"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"Equity Securities" </w:t>
      </w:r>
      <w:r>
        <w:rPr>
          <w:rFonts w:ascii="Times New Roman;serif" w:hAnsi="Times New Roman;serif"/>
          <w:b w:val="false"/>
          <w:color w:val="000000"/>
          <w:sz w:val="20"/>
        </w:rPr>
        <w:t>on our Condensed Consolidated Balance Sheets. As of September 30, 2025 and December 31, 2024, our cash and investments consisted of:</w:t>
      </w:r>
    </w:p>
    <w:tbl>
      <w:tblPr>
        <w:tblW w:w="8077" w:type="dxa"/>
        <w:jc w:val="left"/>
        <w:tblInd w:w="0" w:type="dxa"/>
        <w:tblLayout w:type="fixed"/>
        <w:tblCellMar>
          <w:top w:w="28" w:type="dxa"/>
          <w:left w:w="28" w:type="dxa"/>
          <w:bottom w:w="28" w:type="dxa"/>
          <w:right w:w="28" w:type="dxa"/>
        </w:tblCellMar>
      </w:tblPr>
      <w:tblGrid>
        <w:gridCol w:w="1568"/>
        <w:gridCol w:w="1381"/>
        <w:gridCol w:w="1385"/>
        <w:gridCol w:w="109"/>
        <w:gridCol w:w="109"/>
        <w:gridCol w:w="109"/>
        <w:gridCol w:w="284"/>
        <w:gridCol w:w="1114"/>
        <w:gridCol w:w="147"/>
        <w:gridCol w:w="109"/>
        <w:gridCol w:w="109"/>
        <w:gridCol w:w="109"/>
        <w:gridCol w:w="332"/>
        <w:gridCol w:w="970"/>
        <w:gridCol w:w="242"/>
      </w:tblGrid>
      <w:tr>
        <w:trPr/>
        <w:tc>
          <w:tcPr>
            <w:tcW w:w="1568"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r>
      <w:tr>
        <w:trPr/>
        <w:tc>
          <w:tcPr>
            <w:tcW w:w="433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 available-for-sale, at fair value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198,658 </w:t>
            </w:r>
          </w:p>
        </w:tc>
        <w:tc>
          <w:tcPr>
            <w:tcW w:w="14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32,518 </w:t>
            </w:r>
          </w:p>
        </w:tc>
        <w:tc>
          <w:tcPr>
            <w:tcW w:w="14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171,791 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414,317 </w:t>
            </w:r>
          </w:p>
        </w:tc>
        <w:tc>
          <w:tcPr>
            <w:tcW w:w="147"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27,634 </w:t>
            </w:r>
          </w:p>
        </w:tc>
        <w:tc>
          <w:tcPr>
            <w:tcW w:w="14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Investments and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454,841 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pPr>
      <w:r>
        <w:rPr>
          <w:rFonts w:ascii="Times New Roman;serif" w:hAnsi="Times New Roman;serif"/>
          <w:b w:val="false"/>
          <w:color w:val="000000"/>
          <w:sz w:val="20"/>
        </w:rPr>
        <w:t>In addition to the discussion on Cash and Cash Equivalents and Fixed Maturities that follows herein, please see the "</w:t>
      </w:r>
      <w:r>
        <w:rPr>
          <w:rFonts w:ascii="Times New Roman;serif" w:hAnsi="Times New Roman;serif"/>
          <w:b w:val="false"/>
          <w:i/>
          <w:color w:val="000000"/>
          <w:sz w:val="20"/>
        </w:rPr>
        <w:t>Notes to Condensed Consolidated Financial Statements (unaudited) Note 4. Investments</w:t>
      </w:r>
      <w:r>
        <w:rPr>
          <w:rFonts w:ascii="Times New Roman;serif" w:hAnsi="Times New Roman;serif"/>
          <w:b w:val="false"/>
          <w:color w:val="000000"/>
          <w:sz w:val="20"/>
        </w:rPr>
        <w:t>" included under Part I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of this Form 10-Q for further discussion on our AFS fixed income securities.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net purchases of other investments for the nine months ended September 30, 2025 were due to securities transactions executed after the completion of the Combination. Other than purchases due to pre-existing commitments for private equity funds, we will not be making new commitments to alternative investments in the foreseeable future.</w:t>
      </w:r>
    </w:p>
    <w:p>
      <w:pPr>
        <w:pStyle w:val="TextBody"/>
        <w:bidi w:val="0"/>
        <w:spacing w:lineRule="auto" w:line="240" w:before="0" w:after="120"/>
        <w:ind w:left="0" w:right="0" w:firstLine="270"/>
        <w:jc w:val="both"/>
        <w:rPr/>
      </w:pPr>
      <w:r>
        <w:rPr>
          <w:rFonts w:ascii="Times New Roman;serif" w:hAnsi="Times New Roman;serif"/>
          <w:b w:val="false"/>
          <w:color w:val="000000"/>
          <w:sz w:val="20"/>
        </w:rPr>
        <w:t>Under Maiden Reinsurance's then applicable investment policy, alternative investments could include, but are not limited to, privately held investments, private equities, private credit lending funds, fixed-income funds, hedge funds, equity funds, real estate (including joint ventures and limited partnerships) and other non-fixed-income investments. For further details on our alternative investments, in addition to the discussion of the investments herein, please see "</w:t>
      </w:r>
      <w:r>
        <w:rPr>
          <w:rFonts w:ascii="Times New Roman;serif" w:hAnsi="Times New Roman;serif"/>
          <w:b w:val="false"/>
          <w:i/>
          <w:color w:val="000000"/>
          <w:sz w:val="20"/>
        </w:rPr>
        <w:t>Notes to Condensed Consolidated Financial Statements (unaudited) Note 4(b). Other Investments, Equity Securities and Equity Method Investments</w:t>
      </w:r>
      <w:r>
        <w:rPr>
          <w:color w:val="000000"/>
        </w:rPr>
        <w:t xml:space="preserve"> </w:t>
      </w:r>
      <w:r>
        <w:rPr>
          <w:rFonts w:ascii="Times New Roman;serif" w:hAnsi="Times New Roman;serif"/>
          <w:b w:val="false"/>
          <w:color w:val="000000"/>
          <w:sz w:val="20"/>
        </w:rPr>
        <w:t>included under Part I Item 1 "</w:t>
      </w:r>
      <w:r>
        <w:rPr>
          <w:rFonts w:ascii="Times New Roman;serif" w:hAnsi="Times New Roman;serif"/>
          <w:b w:val="false"/>
          <w:i/>
          <w:color w:val="000000"/>
          <w:sz w:val="20"/>
        </w:rPr>
        <w:t>Financial Information</w:t>
      </w:r>
      <w:r>
        <w:rPr>
          <w:rFonts w:ascii="Times New Roman;serif" w:hAnsi="Times New Roman;serif"/>
          <w:b w:val="false"/>
          <w:color w:val="000000"/>
          <w:sz w:val="20"/>
        </w:rPr>
        <w:t>" of this Form 10-Q.</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investment performance is subject to a variety of risks, including risks related to general economic conditions, market volatility, interest rate fluctuations, foreign exchange risk, liquidity risk and credit and default risk. Interest rates are highly sensitive to many factors, including governmental monetary policies, domestic and international economic and political conditions and other factors beyond our control. An increase in interest rates could result in significant losses, realized or unrealized, in the value of our investment portfolio. A portion of our portfolio consists of alternative investments that subject us to restrictions on redemption, which may limit our ability to withdraw funds for some period of time after the initial investment. The values of, and returns on, such investments may also be more volatile.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believe the legacy Maiden alternative investment portfolio assumed in the Combination provides diversification against our fixed-income investments and an opportunity for improved risk-adjusted return. However, we believe this portfolio is not suitable for our plans to expand our Program Services segment and in addition to the changes in our investment policy as described above, we are actively looking to dispose of these assets to further improve our liquidity position and strengthen our ability to grow.</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Further, the returns of these investments may be more volatile and we may experience significant unrealized gains or losses in any particular quarter or year. While we believe the returns produced by these investments will exceed our cost of capital, in particular our cost of debt capital, it is too soon to determine if the actual returns will achieve this objective and it may be an extended period of time before that determination can be made.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 may utilize and pay fees to various companies to provide investment advisory and/or management services related to these investments. These fees, which would be predominantly based upon the amount of assets under management, would be included in net investment income. In addition, costs associated with evaluating, analyzing and monitoring these investments may require additional expenditures than traditional marketable securities. </w:t>
      </w:r>
    </w:p>
    <w:p>
      <w:pPr>
        <w:pStyle w:val="TextBody"/>
        <w:bidi w:val="0"/>
        <w:spacing w:lineRule="auto" w:line="240" w:before="0" w:after="120"/>
        <w:jc w:val="both"/>
        <w:rPr>
          <w:rFonts w:ascii="Times New Roman;serif" w:hAnsi="Times New Roman;serif"/>
          <w:b w:val="false"/>
          <w:i/>
          <w:color w:val="000000"/>
          <w:sz w:val="20"/>
        </w:rPr>
      </w:pPr>
      <w:r>
        <w:rPr>
          <w:rFonts w:ascii="Times New Roman;serif" w:hAnsi="Times New Roman;serif"/>
          <w:b w:val="false"/>
          <w:i/>
          <w:color w:val="000000"/>
          <w:sz w:val="20"/>
        </w:rPr>
        <w:t>Cash &amp; Cash Equivalents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September 30, 2025, we consider the levels of cash and cash equivalents held to be within our targeted ranges. During periods when interest rates experience greater volatility, we have periodically maintained more cash and cash equivalents to better assess current market conditions and opportunities within our defined risk appetite, and may do so in future periods.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Fixed Maturity Investments</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average yield and average duration of our fixed maturities, by asset class, and our cash and cash equivalents (restricted and unrestricted) are as follows at September 30, 2025 and December 31, 2024:</w:t>
      </w:r>
    </w:p>
    <w:tbl>
      <w:tblPr>
        <w:tblW w:w="10205" w:type="dxa"/>
        <w:jc w:val="center"/>
        <w:tblInd w:w="0" w:type="dxa"/>
        <w:tblLayout w:type="fixed"/>
        <w:tblCellMar>
          <w:top w:w="28" w:type="dxa"/>
          <w:left w:w="28" w:type="dxa"/>
          <w:bottom w:w="28" w:type="dxa"/>
          <w:right w:w="28" w:type="dxa"/>
        </w:tblCellMar>
      </w:tblPr>
      <w:tblGrid>
        <w:gridCol w:w="784"/>
        <w:gridCol w:w="688"/>
        <w:gridCol w:w="694"/>
        <w:gridCol w:w="109"/>
        <w:gridCol w:w="109"/>
        <w:gridCol w:w="109"/>
        <w:gridCol w:w="223"/>
        <w:gridCol w:w="876"/>
        <w:gridCol w:w="115"/>
        <w:gridCol w:w="109"/>
        <w:gridCol w:w="109"/>
        <w:gridCol w:w="109"/>
        <w:gridCol w:w="254"/>
        <w:gridCol w:w="564"/>
        <w:gridCol w:w="133"/>
        <w:gridCol w:w="109"/>
        <w:gridCol w:w="109"/>
        <w:gridCol w:w="109"/>
        <w:gridCol w:w="276"/>
        <w:gridCol w:w="533"/>
        <w:gridCol w:w="144"/>
        <w:gridCol w:w="109"/>
        <w:gridCol w:w="109"/>
        <w:gridCol w:w="109"/>
        <w:gridCol w:w="211"/>
        <w:gridCol w:w="826"/>
        <w:gridCol w:w="109"/>
        <w:gridCol w:w="109"/>
        <w:gridCol w:w="109"/>
        <w:gridCol w:w="109"/>
        <w:gridCol w:w="261"/>
        <w:gridCol w:w="167"/>
        <w:gridCol w:w="467"/>
        <w:gridCol w:w="109"/>
        <w:gridCol w:w="109"/>
        <w:gridCol w:w="109"/>
        <w:gridCol w:w="265"/>
        <w:gridCol w:w="265"/>
        <w:gridCol w:w="388"/>
      </w:tblGrid>
      <w:tr>
        <w:trPr/>
        <w:tc>
          <w:tcPr>
            <w:tcW w:w="7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2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or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pPr>
            <w:r>
              <w:rPr>
                <w:rFonts w:ascii="Times New Roman;serif" w:hAnsi="Times New Roman;serif"/>
                <w:b/>
                <w:color w:val="000000"/>
                <w:sz w:val="16"/>
              </w:rPr>
              <w:t>Average yield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pPr>
            <w:r>
              <w:rPr>
                <w:rFonts w:ascii="Times New Roman;serif" w:hAnsi="Times New Roman;serif"/>
                <w:b/>
                <w:color w:val="000000"/>
                <w:sz w:val="16"/>
              </w:rPr>
              <w:t>Average duration</w:t>
            </w:r>
            <w:r>
              <w:rPr>
                <w:rFonts w:ascii="Times New Roman;serif" w:hAnsi="Times New Roman;serif"/>
                <w:b/>
                <w:color w:val="000000"/>
                <w:sz w:val="10"/>
              </w:rPr>
              <w:t>(2)</w:t>
            </w:r>
          </w:p>
        </w:tc>
      </w:tr>
      <w:tr>
        <w:trPr/>
        <w:tc>
          <w:tcPr>
            <w:tcW w:w="2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U.S. treasury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38,729 </w:t>
            </w:r>
          </w:p>
        </w:tc>
        <w:tc>
          <w:tcPr>
            <w:tcW w:w="1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38,730 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6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8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U.S. agency bonds – mortgage-backed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2166"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52,680 </w:t>
            </w:r>
          </w:p>
        </w:tc>
        <w:tc>
          <w:tcPr>
            <w:tcW w:w="1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4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52,623 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6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88"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16,736 </w:t>
            </w:r>
          </w:p>
        </w:tc>
        <w:tc>
          <w:tcPr>
            <w:tcW w:w="1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16,744 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6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8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fixed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197,941 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40,524 </w:t>
            </w:r>
          </w:p>
        </w:tc>
        <w:tc>
          <w:tcPr>
            <w:tcW w:w="11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40,524 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6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8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238,465 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w:t>
            </w: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59"/>
        <w:gridCol w:w="433"/>
        <w:gridCol w:w="434"/>
        <w:gridCol w:w="109"/>
        <w:gridCol w:w="109"/>
        <w:gridCol w:w="109"/>
        <w:gridCol w:w="303"/>
        <w:gridCol w:w="886"/>
        <w:gridCol w:w="156"/>
        <w:gridCol w:w="109"/>
        <w:gridCol w:w="109"/>
        <w:gridCol w:w="109"/>
        <w:gridCol w:w="350"/>
        <w:gridCol w:w="675"/>
        <w:gridCol w:w="182"/>
        <w:gridCol w:w="109"/>
        <w:gridCol w:w="109"/>
        <w:gridCol w:w="109"/>
        <w:gridCol w:w="353"/>
        <w:gridCol w:w="681"/>
        <w:gridCol w:w="184"/>
        <w:gridCol w:w="109"/>
        <w:gridCol w:w="109"/>
        <w:gridCol w:w="109"/>
        <w:gridCol w:w="211"/>
        <w:gridCol w:w="616"/>
        <w:gridCol w:w="109"/>
        <w:gridCol w:w="109"/>
        <w:gridCol w:w="109"/>
        <w:gridCol w:w="109"/>
        <w:gridCol w:w="252"/>
        <w:gridCol w:w="209"/>
        <w:gridCol w:w="524"/>
        <w:gridCol w:w="109"/>
        <w:gridCol w:w="109"/>
        <w:gridCol w:w="109"/>
        <w:gridCol w:w="326"/>
        <w:gridCol w:w="326"/>
        <w:gridCol w:w="474"/>
      </w:tblGrid>
      <w:tr>
        <w:trPr/>
        <w:tc>
          <w:tcPr>
            <w:tcW w:w="55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or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pPr>
            <w:r>
              <w:rPr>
                <w:rFonts w:ascii="Times New Roman;serif" w:hAnsi="Times New Roman;serif"/>
                <w:b/>
                <w:color w:val="000000"/>
                <w:sz w:val="16"/>
              </w:rPr>
              <w:t>Average yield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pPr>
            <w:r>
              <w:rPr>
                <w:rFonts w:ascii="Times New Roman;serif" w:hAnsi="Times New Roman;serif"/>
                <w:b/>
                <w:color w:val="000000"/>
                <w:sz w:val="16"/>
              </w:rPr>
              <w:t>Average duration</w:t>
            </w:r>
            <w:r>
              <w:rPr>
                <w:rFonts w:ascii="Times New Roman;serif" w:hAnsi="Times New Roman;serif"/>
                <w:b/>
                <w:color w:val="000000"/>
                <w:sz w:val="10"/>
              </w:rPr>
              <w:t>(2)</w:t>
            </w:r>
          </w:p>
        </w:tc>
      </w:tr>
      <w:tr>
        <w:trPr/>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15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2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7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Average yield is calculated by dividing annualized investment income for each sub-component of fixed maturity securities and cash and cash equivalents (including amortization of premium or discount) by amortized cost.</w:t>
      </w:r>
    </w:p>
    <w:p>
      <w:pPr>
        <w:pStyle w:val="TextBody"/>
        <w:bidi w:val="0"/>
        <w:spacing w:lineRule="auto" w:line="240"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Average duration in years.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yield on the 10-year U.S. Treasury bond decreased by 42 basis points to 4.16%. The 10-year U.S. Treasury rate is the key risk-free determinant in the fair value of many of the fixed maturity securities in our portfolio. The decrease in risk-free rates during the nine months ended September 30, 2025 generated net unrealized gains of $0.7 million on our fixed maturity investment portfolio which increased our book value per common share by $0.09 during the period. Current outlooks for global monetary policy have become more uncertain in recent months, as a combination of significant changes in U.S. fiscal and trade policy while simultaneously, labor market conditions are noticeably weakening. The impacts of these policies and conditions on both U.S. and global economic outlooks and inflation appear to be causing central banks to adopt a less restrictive monetary policy stance primarily through interest rate cuts. Should interest rates continue to fall our investment portfolios, in particular our fixed maturity assets, may produce less income and thus impact our financial condition. Associated increases in the values of our fixed maturity investments may be more limited given the significant share of fixed maturity investments that we hold that are floating rate securities.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Interest rate risk is the price sensitivity of a security to changes in interest rates. Credit spread risk is the price sensitivity of a security to changes in credit spreads. As noted, the fair value of our fixed maturity investments will fluctuate with changes in interest rates and credit spreads. We attempt to maintain adequate liquidity in our fixed maturity investments portfolio with a strategy designed to emphasize the preservation of our invested assets and provide sufficient liquidity for the prompt payment of claims and contract liabilities. Because we collateralize a significant portion of our insurance liabilities, unanticipated or large increases in interest rates could require us to utilize significant amounts of unrestricted cash and fixed maturity securities to provide additional collateral, which could impact our asset and capital management strategy described herein.</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 also monitor the duration and structure of our investment portfolio as discussed below. As of September 30, 2025, the aggregate hypothetical change in fair value from an immediate 100 basis points increase in interest rates, assuming credit spreads remain constant, in our fixed maturity investments portfolio would decrease the fair value of that portfolio by $3.6 million. Actual shifts in interest rates may not change by the same magnitude across the maturity spectrum or on an individual security and, as a result, the impact on the fair value of our fixed maturity securities may be materially different from the resulting change in value described above. To limit our exposure to unexpected interest rate increases which would reduce the value of our fixed income securities and reduce our shareholders' equity, we attempt to maintain the duration of our fixed maturity investment portfolio combined with our cash and cash equivalents, both restricted and unrestricted, within a reasonable range of the duration of our loss reserves.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September 30, 2025, these respective durations in years were as follows:</w:t>
      </w:r>
    </w:p>
    <w:tbl>
      <w:tblPr>
        <w:tblW w:w="7549" w:type="dxa"/>
        <w:jc w:val="center"/>
        <w:tblInd w:w="0" w:type="dxa"/>
        <w:tblLayout w:type="fixed"/>
        <w:tblCellMar>
          <w:top w:w="28" w:type="dxa"/>
          <w:left w:w="28" w:type="dxa"/>
          <w:bottom w:w="28" w:type="dxa"/>
          <w:right w:w="28" w:type="dxa"/>
        </w:tblCellMar>
      </w:tblPr>
      <w:tblGrid>
        <w:gridCol w:w="1960"/>
        <w:gridCol w:w="1721"/>
        <w:gridCol w:w="1734"/>
        <w:gridCol w:w="109"/>
        <w:gridCol w:w="109"/>
        <w:gridCol w:w="109"/>
        <w:gridCol w:w="514"/>
        <w:gridCol w:w="514"/>
        <w:gridCol w:w="516"/>
        <w:gridCol w:w="109"/>
        <w:gridCol w:w="154"/>
      </w:tblGrid>
      <w:tr>
        <w:trPr/>
        <w:tc>
          <w:tcPr>
            <w:tcW w:w="1960"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Fixed maturities and cash and cash equivalents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 and LAE - gross of LPT/ADC Agreement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 and LAE - net of LPT/ADC Agreement reserves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the weighted average duration of our fixed maturity investment portfolio was 0.9 years while the duration for gross reserve for loss and LAE was 5.9 years. The differential in duration between these assets and liabilities may fluctuate over time and in the case of fixed maturities, historically has been affected by factors such as market conditions, changes in asset mix and prepayment speeds in the case of both our U.S. agency mortgage-backed securities ("Agency MBS") and commercial mortgage-backed securities held.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September 30, 2025, the duration of our loss reserves net of the LPT/ADC Agreement was higher than the duration of our fixed maturity investment portfolio. To limit our exposure to unexpected interest rate increases that could reduce the value of our fixed maturity securities and reduce our shareholders' equity, the Company holds floating rate securities whose fair values are less sensitive to interest rates. At September 30, 2025, 48.2% of our fixed income investments were comprised of floating rate securities which are detailed in the table below:</w:t>
      </w:r>
    </w:p>
    <w:tbl>
      <w:tblPr>
        <w:tblW w:w="9673" w:type="dxa"/>
        <w:jc w:val="center"/>
        <w:tblInd w:w="0" w:type="dxa"/>
        <w:tblLayout w:type="fixed"/>
        <w:tblCellMar>
          <w:top w:w="28" w:type="dxa"/>
          <w:left w:w="28" w:type="dxa"/>
          <w:bottom w:w="28" w:type="dxa"/>
          <w:right w:w="28" w:type="dxa"/>
        </w:tblCellMar>
      </w:tblPr>
      <w:tblGrid>
        <w:gridCol w:w="1560"/>
        <w:gridCol w:w="1370"/>
        <w:gridCol w:w="1374"/>
        <w:gridCol w:w="109"/>
        <w:gridCol w:w="109"/>
        <w:gridCol w:w="109"/>
        <w:gridCol w:w="211"/>
        <w:gridCol w:w="826"/>
        <w:gridCol w:w="109"/>
        <w:gridCol w:w="109"/>
        <w:gridCol w:w="109"/>
        <w:gridCol w:w="109"/>
        <w:gridCol w:w="255"/>
        <w:gridCol w:w="256"/>
        <w:gridCol w:w="501"/>
        <w:gridCol w:w="109"/>
        <w:gridCol w:w="109"/>
        <w:gridCol w:w="109"/>
        <w:gridCol w:w="211"/>
        <w:gridCol w:w="616"/>
        <w:gridCol w:w="109"/>
        <w:gridCol w:w="109"/>
        <w:gridCol w:w="109"/>
        <w:gridCol w:w="109"/>
        <w:gridCol w:w="203"/>
        <w:gridCol w:w="203"/>
        <w:gridCol w:w="561"/>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43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Floating rate securities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floating rate AFS fixed maturities at fair value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68,439 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50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to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floating rate securities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170,128 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50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D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color w:val="000000"/>
                <w:sz w:val="20"/>
              </w:rPr>
              <w:t xml:space="preserve">Total fixed income investments at fair value </w:t>
            </w:r>
            <w:r>
              <w:rPr>
                <w:rFonts w:ascii="Times New Roman;serif" w:hAnsi="Times New Roman;serif"/>
                <w:b/>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352,812 </w:t>
            </w:r>
          </w:p>
        </w:tc>
        <w:tc>
          <w:tcPr>
            <w:tcW w:w="109"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109"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(1) Total fixed income investments at fair value include AFS fixed maturities, cash and restricted cash, funds withheld receivable, and net loan receivable from related party.</w:t>
      </w:r>
    </w:p>
    <w:p>
      <w:pPr>
        <w:pStyle w:val="TextBody"/>
        <w:bidi w:val="0"/>
        <w:spacing w:before="0" w:after="0"/>
        <w:jc w:val="both"/>
        <w:rPr/>
      </w:pPr>
      <w:r>
        <w:rPr/>
      </w:r>
    </w:p>
    <w:p>
      <w:pPr>
        <w:pStyle w:val="TextBody"/>
        <w:bidi w:val="0"/>
        <w:spacing w:lineRule="auto" w:line="240" w:before="0" w:after="12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2025, 100.0% of the Company’s U.S. agency bond holdings are mortgage-backed. Total U.S. agency MBS comprise 11.1% of our fixed maturity investment portfolio at September 30, 2025. Given their relative size to our total investments, if faster prepayment patterns were to occur over an extended period of time, this could potentially limit the growth in our investment income in certain circumstances or reduce the total amount of investment income we earn. The fair value of our U.S. Agency MBS holdings at September 30, 2025 were as follows: </w:t>
      </w:r>
    </w:p>
    <w:tbl>
      <w:tblPr>
        <w:tblW w:w="5393" w:type="dxa"/>
        <w:jc w:val="center"/>
        <w:tblInd w:w="0" w:type="dxa"/>
        <w:tblLayout w:type="fixed"/>
        <w:tblCellMar>
          <w:top w:w="28" w:type="dxa"/>
          <w:left w:w="28" w:type="dxa"/>
          <w:bottom w:w="28" w:type="dxa"/>
          <w:right w:w="28" w:type="dxa"/>
        </w:tblCellMar>
      </w:tblPr>
      <w:tblGrid>
        <w:gridCol w:w="762"/>
        <w:gridCol w:w="667"/>
        <w:gridCol w:w="671"/>
        <w:gridCol w:w="109"/>
        <w:gridCol w:w="109"/>
        <w:gridCol w:w="109"/>
        <w:gridCol w:w="211"/>
        <w:gridCol w:w="721"/>
        <w:gridCol w:w="109"/>
        <w:gridCol w:w="109"/>
        <w:gridCol w:w="109"/>
        <w:gridCol w:w="109"/>
        <w:gridCol w:w="307"/>
        <w:gridCol w:w="309"/>
        <w:gridCol w:w="501"/>
        <w:gridCol w:w="109"/>
        <w:gridCol w:w="109"/>
        <w:gridCol w:w="109"/>
        <w:gridCol w:w="154"/>
      </w:tblGrid>
      <w:tr>
        <w:trPr/>
        <w:tc>
          <w:tcPr>
            <w:tcW w:w="7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 – fixed rate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12,805 </w:t>
            </w:r>
          </w:p>
        </w:tc>
        <w:tc>
          <w:tcPr>
            <w:tcW w:w="109"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501"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 – 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GNMA – variable rate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50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U.S. Agency 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At September 30, 2025, 100.0% of our fixed maturity investments consisted of investment grade securities. We define a security as being below investment grade if it has an S&amp;P credit rating of BB+ or equivalent, or less. Please see </w:t>
      </w:r>
      <w:r>
        <w:rPr>
          <w:rFonts w:ascii="Times New Roman;serif" w:hAnsi="Times New Roman;serif"/>
          <w:b w:val="false"/>
          <w:i/>
          <w:color w:val="000000"/>
          <w:sz w:val="20"/>
        </w:rPr>
        <w:t>Part I, Item 1 - Notes to Condensed Consolidated Financial Statements (unaudited) Note 4. Investments</w:t>
      </w:r>
      <w:r>
        <w:rPr>
          <w:color w:val="000000"/>
        </w:rPr>
        <w:t xml:space="preserve"> </w:t>
      </w:r>
      <w:r>
        <w:rPr>
          <w:rFonts w:ascii="Times New Roman;serif" w:hAnsi="Times New Roman;serif"/>
          <w:b w:val="false"/>
          <w:color w:val="000000"/>
          <w:sz w:val="20"/>
        </w:rPr>
        <w:t>for additional information on the credit rating of our fixed income investment portfolio. Credit ratings below are assigned by S&amp;P, or an equivalent rating agency. The security holdings by sector and financial strength rating of our corporate bond holdings at September 30, 2025 were as follows:</w:t>
      </w:r>
    </w:p>
    <w:tbl>
      <w:tblPr>
        <w:tblW w:w="10205" w:type="dxa"/>
        <w:jc w:val="center"/>
        <w:tblInd w:w="0" w:type="dxa"/>
        <w:tblLayout w:type="fixed"/>
        <w:tblCellMar>
          <w:top w:w="28" w:type="dxa"/>
          <w:left w:w="28" w:type="dxa"/>
          <w:bottom w:w="28" w:type="dxa"/>
          <w:right w:w="28" w:type="dxa"/>
        </w:tblCellMar>
      </w:tblPr>
      <w:tblGrid>
        <w:gridCol w:w="664"/>
        <w:gridCol w:w="583"/>
        <w:gridCol w:w="585"/>
        <w:gridCol w:w="109"/>
        <w:gridCol w:w="109"/>
        <w:gridCol w:w="109"/>
        <w:gridCol w:w="109"/>
        <w:gridCol w:w="109"/>
        <w:gridCol w:w="109"/>
        <w:gridCol w:w="109"/>
        <w:gridCol w:w="109"/>
        <w:gridCol w:w="109"/>
        <w:gridCol w:w="255"/>
        <w:gridCol w:w="256"/>
        <w:gridCol w:w="436"/>
        <w:gridCol w:w="109"/>
        <w:gridCol w:w="109"/>
        <w:gridCol w:w="109"/>
        <w:gridCol w:w="305"/>
        <w:gridCol w:w="302"/>
        <w:gridCol w:w="756"/>
        <w:gridCol w:w="109"/>
        <w:gridCol w:w="109"/>
        <w:gridCol w:w="109"/>
        <w:gridCol w:w="109"/>
        <w:gridCol w:w="109"/>
        <w:gridCol w:w="109"/>
        <w:gridCol w:w="109"/>
        <w:gridCol w:w="247"/>
        <w:gridCol w:w="848"/>
        <w:gridCol w:w="127"/>
        <w:gridCol w:w="109"/>
        <w:gridCol w:w="109"/>
        <w:gridCol w:w="109"/>
        <w:gridCol w:w="500"/>
        <w:gridCol w:w="493"/>
        <w:gridCol w:w="1450"/>
      </w:tblGrid>
      <w:tr>
        <w:trPr/>
        <w:tc>
          <w:tcPr>
            <w:tcW w:w="66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r>
      <w:tr>
        <w:trPr/>
        <w:tc>
          <w:tcPr>
            <w:tcW w:w="1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9"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Ratings</w:t>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2" w:type="dxa"/>
            <w:gridSpan w:val="9"/>
            <w:tcBorders/>
          </w:tcPr>
          <w:p>
            <w:pPr>
              <w:pStyle w:val="TableContents"/>
              <w:bidi w:val="0"/>
              <w:spacing w:before="0" w:after="283"/>
              <w:jc w:val="left"/>
              <w:rPr>
                <w:sz w:val="4"/>
                <w:szCs w:val="4"/>
              </w:rPr>
            </w:pPr>
            <w:r>
              <w:rPr>
                <w:sz w:val="4"/>
                <w:szCs w:val="4"/>
              </w:rPr>
            </w:r>
          </w:p>
        </w:tc>
      </w:tr>
      <w:tr>
        <w:trPr/>
        <w:tc>
          <w:tcPr>
            <w:tcW w:w="1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 A,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BBB+, BBB, BBB-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Corporate bonds portfolio</w:t>
            </w:r>
          </w:p>
        </w:tc>
      </w:tr>
      <w:tr>
        <w:trPr/>
        <w:tc>
          <w:tcPr>
            <w:tcW w:w="1832"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Basic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3"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43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2,930 </w:t>
            </w:r>
          </w:p>
        </w:tc>
        <w:tc>
          <w:tcPr>
            <w:tcW w:w="12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450"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3"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Financial Institutions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3"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3" w:type="dxa"/>
            <w:gridSpan w:val="3"/>
            <w:tcBorders/>
            <w:vAlign w:val="center"/>
          </w:tcPr>
          <w:p>
            <w:pPr>
              <w:pStyle w:val="TableContents"/>
              <w:bidi w:val="0"/>
              <w:spacing w:before="0" w:after="283"/>
              <w:jc w:val="left"/>
              <w:rPr>
                <w:sz w:val="4"/>
                <w:szCs w:val="4"/>
              </w:rPr>
            </w:pPr>
            <w:r>
              <w:rPr>
                <w:sz w:val="4"/>
                <w:szCs w:val="4"/>
              </w:rPr>
            </w:r>
          </w:p>
        </w:tc>
      </w:tr>
      <w:tr>
        <w:trPr/>
        <w:tc>
          <w:tcPr>
            <w:tcW w:w="1832"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43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75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16,744 </w:t>
            </w:r>
          </w:p>
        </w:tc>
        <w:tc>
          <w:tcPr>
            <w:tcW w:w="127"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450"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tbl>
      <w:tblPr>
        <w:tblW w:w="452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17"/>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FFFFFF"/>
                <w:sz w:val="16"/>
              </w:rPr>
              <w:t>Ratings</w:t>
            </w:r>
            <w:r>
              <w:rPr>
                <w:rFonts w:ascii="Times New Roman;serif" w:hAnsi="Times New Roman;serif"/>
                <w:b/>
                <w:color w:val="FFFFFF"/>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includes the Company’s four largest corporate holdings at fair value and as a percentage of all fixed income securities held as at September 30, 2025. The Company's four largest corporate holdings are 100.0% euro denominated, with 17.5% in the Consumer Sector and 47.5% in the Financial Institutions sector. </w:t>
      </w:r>
    </w:p>
    <w:tbl>
      <w:tblPr>
        <w:tblW w:w="8225" w:type="dxa"/>
        <w:jc w:val="center"/>
        <w:tblInd w:w="0" w:type="dxa"/>
        <w:tblLayout w:type="fixed"/>
        <w:tblCellMar>
          <w:top w:w="28" w:type="dxa"/>
          <w:left w:w="28" w:type="dxa"/>
          <w:bottom w:w="28" w:type="dxa"/>
          <w:right w:w="28" w:type="dxa"/>
        </w:tblCellMar>
      </w:tblPr>
      <w:tblGrid>
        <w:gridCol w:w="1468"/>
        <w:gridCol w:w="1288"/>
        <w:gridCol w:w="1294"/>
        <w:gridCol w:w="109"/>
        <w:gridCol w:w="109"/>
        <w:gridCol w:w="109"/>
        <w:gridCol w:w="249"/>
        <w:gridCol w:w="852"/>
        <w:gridCol w:w="128"/>
        <w:gridCol w:w="109"/>
        <w:gridCol w:w="109"/>
        <w:gridCol w:w="109"/>
        <w:gridCol w:w="257"/>
        <w:gridCol w:w="257"/>
        <w:gridCol w:w="641"/>
        <w:gridCol w:w="109"/>
        <w:gridCol w:w="109"/>
        <w:gridCol w:w="109"/>
        <w:gridCol w:w="237"/>
        <w:gridCol w:w="237"/>
        <w:gridCol w:w="336"/>
      </w:tblGrid>
      <w:tr>
        <w:trPr/>
        <w:tc>
          <w:tcPr>
            <w:tcW w:w="146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Holdings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pPr>
            <w:r>
              <w:rPr>
                <w:rFonts w:ascii="Times New Roman;serif" w:hAnsi="Times New Roman;serif"/>
                <w:b/>
                <w:color w:val="000000"/>
                <w:sz w:val="16"/>
              </w:rPr>
              <w:t>Rating</w:t>
            </w:r>
            <w:r>
              <w:rPr>
                <w:rFonts w:ascii="Times New Roman;serif" w:hAnsi="Times New Roman;serif"/>
                <w:b/>
                <w:color w:val="000000"/>
                <w:sz w:val="10"/>
              </w:rPr>
              <w:t>(1)</w:t>
            </w:r>
          </w:p>
        </w:tc>
      </w:tr>
      <w:tr>
        <w:trPr/>
        <w:tc>
          <w:tcPr>
            <w:tcW w:w="4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Chubb Ina Holdings Inc., 1.55%, Due 3/15/2028</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7,445 </w:t>
            </w:r>
          </w:p>
        </w:tc>
        <w:tc>
          <w:tcPr>
            <w:tcW w:w="12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4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PPG Industries Inc., 0.875%, Due 11/3/2025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BBB+</w:t>
            </w:r>
          </w:p>
        </w:tc>
      </w:tr>
      <w:tr>
        <w:trPr/>
        <w:tc>
          <w:tcPr>
            <w:tcW w:w="405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McKesson Corp., 1.5% Due 11/17/2025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2,930 </w:t>
            </w:r>
          </w:p>
        </w:tc>
        <w:tc>
          <w:tcPr>
            <w:tcW w:w="128"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4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Tower Corp, 1.0%, Due 1/15/2032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BBB+</w:t>
            </w:r>
          </w:p>
        </w:tc>
      </w:tr>
      <w:tr>
        <w:trPr/>
        <w:tc>
          <w:tcPr>
            <w:tcW w:w="405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16,744 </w:t>
            </w:r>
          </w:p>
        </w:tc>
        <w:tc>
          <w:tcPr>
            <w:tcW w:w="128"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64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Ratings as assigned by S&amp;P, or equivalent</w:t>
      </w:r>
    </w:p>
    <w:p>
      <w:pPr>
        <w:pStyle w:val="TextBody"/>
        <w:bidi w:val="0"/>
        <w:spacing w:before="0" w:after="0"/>
        <w:ind w:left="0" w:right="0" w:firstLine="270"/>
        <w:jc w:val="both"/>
        <w:rPr/>
      </w:pPr>
      <w:r>
        <w:rPr/>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September 30, 2025, we held the following types of non-U.S. dollar denominated securities:</w:t>
      </w:r>
    </w:p>
    <w:tbl>
      <w:tblPr>
        <w:tblW w:w="7943" w:type="dxa"/>
        <w:jc w:val="center"/>
        <w:tblInd w:w="0" w:type="dxa"/>
        <w:tblLayout w:type="fixed"/>
        <w:tblCellMar>
          <w:top w:w="28" w:type="dxa"/>
          <w:left w:w="28" w:type="dxa"/>
          <w:bottom w:w="28" w:type="dxa"/>
          <w:right w:w="28" w:type="dxa"/>
        </w:tblCellMar>
      </w:tblPr>
      <w:tblGrid>
        <w:gridCol w:w="1648"/>
        <w:gridCol w:w="1447"/>
        <w:gridCol w:w="1450"/>
        <w:gridCol w:w="109"/>
        <w:gridCol w:w="109"/>
        <w:gridCol w:w="109"/>
        <w:gridCol w:w="211"/>
        <w:gridCol w:w="826"/>
        <w:gridCol w:w="109"/>
        <w:gridCol w:w="109"/>
        <w:gridCol w:w="109"/>
        <w:gridCol w:w="109"/>
        <w:gridCol w:w="307"/>
        <w:gridCol w:w="309"/>
        <w:gridCol w:w="501"/>
        <w:gridCol w:w="109"/>
        <w:gridCol w:w="109"/>
        <w:gridCol w:w="109"/>
        <w:gridCol w:w="154"/>
      </w:tblGrid>
      <w:tr>
        <w:trPr/>
        <w:tc>
          <w:tcPr>
            <w:tcW w:w="1648"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Non-USD denominated collateralized loan obligations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68,439 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50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Non-USD denominated 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52,623 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50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non-U.S. dollar denominated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September 30, 2025, 100.0% of non-U.S. dollar denominated securities were invested in euro denominated bonds. At September 30, 2025, the non-U.S. government issuers all have a rating of A+ or higher by Fitch Ratings. We do not employ any credit default protection against any of the fixed maturities held in non-U.S. dollar denominated currencies at September 30, 2025. For our non-U.S. dollar denominated corporate bonds, the following table summarizes the composition of the fair value of our fixed maturity investments at the dates indicated by ratings at September 30, 2025:</w:t>
      </w:r>
    </w:p>
    <w:tbl>
      <w:tblPr>
        <w:tblW w:w="7763" w:type="dxa"/>
        <w:jc w:val="center"/>
        <w:tblInd w:w="0" w:type="dxa"/>
        <w:tblLayout w:type="fixed"/>
        <w:tblCellMar>
          <w:top w:w="28" w:type="dxa"/>
          <w:left w:w="28" w:type="dxa"/>
          <w:bottom w:w="28" w:type="dxa"/>
          <w:right w:w="28" w:type="dxa"/>
        </w:tblCellMar>
      </w:tblPr>
      <w:tblGrid>
        <w:gridCol w:w="1615"/>
        <w:gridCol w:w="1426"/>
        <w:gridCol w:w="1429"/>
        <w:gridCol w:w="109"/>
        <w:gridCol w:w="109"/>
        <w:gridCol w:w="109"/>
        <w:gridCol w:w="211"/>
        <w:gridCol w:w="721"/>
        <w:gridCol w:w="109"/>
        <w:gridCol w:w="109"/>
        <w:gridCol w:w="109"/>
        <w:gridCol w:w="109"/>
        <w:gridCol w:w="307"/>
        <w:gridCol w:w="309"/>
        <w:gridCol w:w="501"/>
        <w:gridCol w:w="109"/>
        <w:gridCol w:w="109"/>
        <w:gridCol w:w="109"/>
        <w:gridCol w:w="154"/>
      </w:tblGrid>
      <w:tr>
        <w:trPr/>
        <w:tc>
          <w:tcPr>
            <w:tcW w:w="161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Ratings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A, A-</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10,375 </w:t>
            </w:r>
          </w:p>
        </w:tc>
        <w:tc>
          <w:tcPr>
            <w:tcW w:w="10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50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BBB+, BBB, 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non-U.S. dollar denominated corporate bonds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16,744 </w:t>
            </w:r>
          </w:p>
        </w:tc>
        <w:tc>
          <w:tcPr>
            <w:tcW w:w="10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0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Ratings as assigned by S&amp;P, or equivalent</w:t>
      </w:r>
    </w:p>
    <w:p>
      <w:pPr>
        <w:pStyle w:val="TextBody"/>
        <w:bidi w:val="0"/>
        <w:spacing w:before="180" w:after="12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Investments, Equity Securities and Equity Method Investments</w: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alternative investments are categorized as other investments, equity securities and equity method investments as reported on our condensed consolidated balance sheets. These include private equity funds, private credit funds, investments in limited partnerships, as well as investments in direct lending entities and investments in technology-oriented insurance related businesses known as insurtechs. Private equity investments consist of direct investments in privately held entities, investments in private equity funds and private equity co-investments with sponsoring entities. Private credit investments consist of loans and other debt securities of privately held entities or investment sponsors. Our alternative investments as of September 30, 2025 consisted of the following asset categories: </w:t>
      </w:r>
    </w:p>
    <w:tbl>
      <w:tblPr>
        <w:tblW w:w="8316" w:type="dxa"/>
        <w:jc w:val="center"/>
        <w:tblInd w:w="0" w:type="dxa"/>
        <w:tblLayout w:type="fixed"/>
        <w:tblCellMar>
          <w:top w:w="28" w:type="dxa"/>
          <w:left w:w="28" w:type="dxa"/>
          <w:bottom w:w="28" w:type="dxa"/>
          <w:right w:w="28" w:type="dxa"/>
        </w:tblCellMar>
      </w:tblPr>
      <w:tblGrid>
        <w:gridCol w:w="1735"/>
        <w:gridCol w:w="1523"/>
        <w:gridCol w:w="1526"/>
        <w:gridCol w:w="109"/>
        <w:gridCol w:w="109"/>
        <w:gridCol w:w="109"/>
        <w:gridCol w:w="226"/>
        <w:gridCol w:w="902"/>
        <w:gridCol w:w="116"/>
        <w:gridCol w:w="109"/>
        <w:gridCol w:w="109"/>
        <w:gridCol w:w="109"/>
        <w:gridCol w:w="313"/>
        <w:gridCol w:w="318"/>
        <w:gridCol w:w="522"/>
        <w:gridCol w:w="109"/>
        <w:gridCol w:w="109"/>
        <w:gridCol w:w="109"/>
        <w:gridCol w:w="154"/>
      </w:tblGrid>
      <w:tr>
        <w:trPr/>
        <w:tc>
          <w:tcPr>
            <w:tcW w:w="1735"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8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common stocks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preferred stocks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2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11,350</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 method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2"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32,518</w:t>
            </w:r>
            <w:r>
              <w:rPr>
                <w:color w:val="000000"/>
              </w:rPr>
              <w:t> </w:t>
            </w:r>
          </w:p>
        </w:tc>
        <w:tc>
          <w:tcPr>
            <w:tcW w:w="116" w:type="dxa"/>
            <w:tcBorders>
              <w:top w:val="single" w:sz="8" w:space="0" w:color="000000"/>
            </w:tcBorders>
            <w:shd w:fill="CD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w:t>
            </w:r>
            <w:r>
              <w:rPr>
                <w:color w:val="000000"/>
              </w:rPr>
              <w:t> </w:t>
            </w:r>
          </w:p>
        </w:tc>
        <w:tc>
          <w:tcPr>
            <w:tcW w:w="522" w:type="dxa"/>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 funds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30,982 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52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credit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equity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11,048 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2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 with fair value option elected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78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direct lending entities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53,616 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52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171,791</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79.6</w:t>
            </w:r>
            <w:r>
              <w:rPr>
                <w:color w:val="000000"/>
              </w:rPr>
              <w:t>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alternative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215,659</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allocation to alternative investments increased to 47.4% of our total cash and investments held as of September 30, 2025, reflecting assets acquired in the Combination. In addition to the categories described above, we also evaluate our alternative investments by the following asset classes: </w:t>
      </w:r>
    </w:p>
    <w:tbl>
      <w:tblPr>
        <w:tblW w:w="6127" w:type="dxa"/>
        <w:jc w:val="center"/>
        <w:tblInd w:w="0" w:type="dxa"/>
        <w:tblLayout w:type="fixed"/>
        <w:tblCellMar>
          <w:top w:w="28" w:type="dxa"/>
          <w:left w:w="28" w:type="dxa"/>
          <w:bottom w:w="28" w:type="dxa"/>
          <w:right w:w="28" w:type="dxa"/>
        </w:tblCellMar>
      </w:tblPr>
      <w:tblGrid>
        <w:gridCol w:w="943"/>
        <w:gridCol w:w="825"/>
        <w:gridCol w:w="827"/>
        <w:gridCol w:w="109"/>
        <w:gridCol w:w="109"/>
        <w:gridCol w:w="109"/>
        <w:gridCol w:w="226"/>
        <w:gridCol w:w="902"/>
        <w:gridCol w:w="116"/>
        <w:gridCol w:w="109"/>
        <w:gridCol w:w="109"/>
        <w:gridCol w:w="109"/>
        <w:gridCol w:w="314"/>
        <w:gridCol w:w="317"/>
        <w:gridCol w:w="522"/>
        <w:gridCol w:w="109"/>
        <w:gridCol w:w="109"/>
        <w:gridCol w:w="109"/>
        <w:gridCol w:w="154"/>
      </w:tblGrid>
      <w:tr>
        <w:trPr/>
        <w:tc>
          <w:tcPr>
            <w:tcW w:w="94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DFFC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Credit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2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Venture Capital</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28,805 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52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25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alternative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2"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215,659</w:t>
            </w:r>
            <w:r>
              <w:rPr>
                <w:color w:val="000000"/>
              </w:rPr>
              <w:t> </w:t>
            </w:r>
          </w:p>
        </w:tc>
        <w:tc>
          <w:tcPr>
            <w:tcW w:w="116"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522" w:type="dxa"/>
            <w:tcBorders>
              <w:top w:val="single" w:sz="8" w:space="0" w:color="000000"/>
              <w:bottom w:val="double" w:sz="8" w:space="0" w:color="000000"/>
            </w:tcBorders>
            <w:shd w:fill="CD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pPr>
      <w:r>
        <w:rPr>
          <w:rFonts w:ascii="Times New Roman;serif" w:hAnsi="Times New Roman;serif"/>
          <w:b w:val="false"/>
          <w:color w:val="000000"/>
          <w:sz w:val="20"/>
        </w:rPr>
        <w:t>For further details on these alternative investments, see "</w:t>
      </w:r>
      <w:r>
        <w:rPr>
          <w:rFonts w:ascii="Times New Roman;serif" w:hAnsi="Times New Roman;serif"/>
          <w:b w:val="false"/>
          <w:i/>
          <w:color w:val="000000"/>
          <w:sz w:val="20"/>
        </w:rPr>
        <w:t>Notes to Condensed Consolidated Financial Statements: Note 4(b) Other Investments, Equity Securities and Equity Method Investments"</w:t>
      </w:r>
      <w:r>
        <w:rPr>
          <w:color w:val="000000"/>
        </w:rPr>
        <w:t xml:space="preserve"> </w:t>
      </w:r>
      <w:r>
        <w:rPr>
          <w:rFonts w:ascii="Times New Roman;serif" w:hAnsi="Times New Roman;serif"/>
          <w:b w:val="false"/>
          <w:color w:val="000000"/>
          <w:sz w:val="20"/>
        </w:rPr>
        <w:t xml:space="preserve">included under Part I Item 1. </w:t>
      </w:r>
      <w:r>
        <w:rPr>
          <w:rFonts w:ascii="Times New Roman;serif" w:hAnsi="Times New Roman;serif"/>
          <w:b w:val="false"/>
          <w:i/>
          <w:color w:val="000000"/>
          <w:sz w:val="20"/>
        </w:rPr>
        <w:t>"Financial Information"</w:t>
      </w:r>
      <w:r>
        <w:rPr>
          <w:color w:val="000000"/>
        </w:rPr>
        <w:t xml:space="preserve"> </w:t>
      </w:r>
      <w:r>
        <w:rPr>
          <w:rFonts w:ascii="Times New Roman;serif" w:hAnsi="Times New Roman;serif"/>
          <w:b w:val="false"/>
          <w:color w:val="000000"/>
          <w:sz w:val="20"/>
        </w:rPr>
        <w:t>of this Report on Form 10-Q. Within these asset classes, our portfolio broadly consists of the following types of investments:</w:t>
      </w:r>
    </w:p>
    <w:p>
      <w:pPr>
        <w:pStyle w:val="TextBody"/>
        <w:bidi w:val="0"/>
        <w:spacing w:lineRule="auto" w:line="240" w:before="0" w:after="120"/>
        <w:ind w:left="0" w:right="0" w:firstLine="270"/>
        <w:jc w:val="both"/>
        <w:rPr/>
      </w:pPr>
      <w:r>
        <w:rPr>
          <w:color w:val="000000"/>
        </w:rPr>
        <w:t>•</w:t>
      </w:r>
      <w:r>
        <w:rPr>
          <w:rFonts w:ascii="Times New Roman;serif" w:hAnsi="Times New Roman;serif"/>
          <w:b w:val="false"/>
          <w:color w:val="000000"/>
          <w:sz w:val="20"/>
          <w:u w:val="single"/>
        </w:rPr>
        <w:t>Private Equity</w:t>
      </w:r>
      <w:r>
        <w:rPr>
          <w:color w:val="000000"/>
        </w:rPr>
        <w:t xml:space="preserve"> – </w:t>
      </w:r>
      <w:r>
        <w:rPr>
          <w:rFonts w:ascii="Times New Roman;serif" w:hAnsi="Times New Roman;serif"/>
          <w:b w:val="false"/>
          <w:color w:val="000000"/>
          <w:sz w:val="20"/>
        </w:rPr>
        <w:t>this asset class consists of both fund investments with leading private equity sponsors and direct equity investments in private companies, sometimes in conjunction with our private equity fund sponsors. As of September 30, 2025, $4.0 million or 24.2% of investments in the private equity asset class consisted of investments in private equity funds and $12.5 million or 75.8% consisted of direct equity investments in private companies.</w:t>
      </w:r>
    </w:p>
    <w:p>
      <w:pPr>
        <w:pStyle w:val="TextBody"/>
        <w:bidi w:val="0"/>
        <w:spacing w:lineRule="auto" w:line="240" w:before="0" w:after="120"/>
        <w:ind w:left="0" w:right="0" w:firstLine="270"/>
        <w:jc w:val="both"/>
        <w:rPr/>
      </w:pPr>
      <w:r>
        <w:rPr>
          <w:color w:val="000000"/>
        </w:rPr>
        <w:t>•</w:t>
      </w:r>
      <w:r>
        <w:rPr>
          <w:rFonts w:ascii="Times New Roman;serif" w:hAnsi="Times New Roman;serif"/>
          <w:b w:val="false"/>
          <w:color w:val="000000"/>
          <w:sz w:val="20"/>
          <w:u w:val="single"/>
        </w:rPr>
        <w:t xml:space="preserve">Private Credit </w:t>
      </w:r>
      <w:r>
        <w:rPr>
          <w:rFonts w:ascii="Times New Roman;serif" w:hAnsi="Times New Roman;serif"/>
          <w:b w:val="false"/>
          <w:color w:val="000000"/>
          <w:sz w:val="20"/>
        </w:rPr>
        <w:t>- this asset class consists of both fund investments with leading private credit sponsors and direct credit investments in private companies, sometimes in conjunction with our private credit fund sponsors. Private credit investments in both funds and on a direct basis will typically be secured lending arrangements with non-rated entities, often with additional protective provisions to enhance the security and returns of these investments. As of September 30, 2025, all of the private credit asset class consisted of direct investments in debt securities of private companies.</w:t>
      </w:r>
    </w:p>
    <w:p>
      <w:pPr>
        <w:pStyle w:val="TextBody"/>
        <w:bidi w:val="0"/>
        <w:spacing w:before="0" w:after="120"/>
        <w:ind w:left="0" w:right="0" w:firstLine="63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40" w:before="0" w:after="120"/>
        <w:ind w:left="0" w:right="0" w:firstLine="270"/>
        <w:jc w:val="both"/>
        <w:rPr/>
      </w:pPr>
      <w:r>
        <w:rPr>
          <w:color w:val="000000"/>
        </w:rPr>
        <w:t>•</w:t>
      </w:r>
      <w:r>
        <w:rPr>
          <w:rFonts w:ascii="Times New Roman;serif" w:hAnsi="Times New Roman;serif"/>
          <w:b w:val="false"/>
          <w:color w:val="000000"/>
          <w:sz w:val="20"/>
          <w:u w:val="single"/>
        </w:rPr>
        <w:t xml:space="preserve">Alternatives </w:t>
      </w:r>
      <w:r>
        <w:rPr>
          <w:color w:val="000000"/>
        </w:rPr>
        <w:t xml:space="preserve">– </w:t>
      </w:r>
      <w:r>
        <w:rPr>
          <w:rFonts w:ascii="Times New Roman;serif" w:hAnsi="Times New Roman;serif"/>
          <w:b w:val="false"/>
          <w:color w:val="000000"/>
          <w:sz w:val="20"/>
        </w:rPr>
        <w:t xml:space="preserve">this asset class consists of structured financing arrangements which typically have incentive features to enhance the Company’s returns. As part of these arrangements, the Company requires collateral or bankruptcy-remote structures to protect its investments. As of September 30, 2025, $82.2 million or 97.9% of investments in the alternatives asset class were direct investments and $1.8 million or 2.1% of the alternatives asset class were invested in funds. One investment in a collateralized direct lending entity of $53.6 million represents 63.8% of this asset class and is discussed further in </w:t>
      </w:r>
      <w:r>
        <w:rPr>
          <w:rFonts w:ascii="Times New Roman;serif" w:hAnsi="Times New Roman;serif"/>
          <w:b w:val="false"/>
          <w:i/>
          <w:color w:val="000000"/>
          <w:sz w:val="20"/>
        </w:rPr>
        <w:t>"Note 4 — Investments"</w:t>
      </w:r>
      <w:r>
        <w:rPr>
          <w:color w:val="000000"/>
        </w:rPr>
        <w:t xml:space="preserve"> </w:t>
      </w:r>
      <w:r>
        <w:rPr>
          <w:rFonts w:ascii="Times New Roman;serif" w:hAnsi="Times New Roman;serif"/>
          <w:b w:val="false"/>
          <w:color w:val="000000"/>
          <w:sz w:val="20"/>
        </w:rPr>
        <w:t xml:space="preserve">included in Part I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in this Quarterly Report on Form 10-Q for the nine months ended September 30, 2025. Prior to the Combination, Maiden had carried the investment in a collateralized direct lending entity at cost less an allowance for expected credit losses.</w:t>
      </w:r>
    </w:p>
    <w:p>
      <w:pPr>
        <w:pStyle w:val="TextBody"/>
        <w:bidi w:val="0"/>
        <w:spacing w:lineRule="auto" w:line="240" w:before="0" w:after="120"/>
        <w:ind w:left="0" w:right="0" w:firstLine="270"/>
        <w:jc w:val="both"/>
        <w:rPr/>
      </w:pPr>
      <w:r>
        <w:rPr>
          <w:color w:val="000000"/>
        </w:rPr>
        <w:t>•</w:t>
      </w:r>
      <w:r>
        <w:rPr>
          <w:rFonts w:ascii="Times New Roman;serif" w:hAnsi="Times New Roman;serif"/>
          <w:b w:val="false"/>
          <w:color w:val="000000"/>
          <w:sz w:val="20"/>
          <w:u w:val="single"/>
        </w:rPr>
        <w:t xml:space="preserve">Venture Capital </w:t>
      </w:r>
      <w:r>
        <w:rPr>
          <w:color w:val="000000"/>
        </w:rPr>
        <w:t xml:space="preserve">– </w:t>
      </w:r>
      <w:r>
        <w:rPr>
          <w:rFonts w:ascii="Times New Roman;serif" w:hAnsi="Times New Roman;serif"/>
          <w:b w:val="false"/>
          <w:color w:val="000000"/>
          <w:sz w:val="20"/>
        </w:rPr>
        <w:t>this asset class consists of both fund investments with venture capital firms focused primarily on “insurtech” or “fintech” early-stage investments as well as direct investments in start-up companies in this sector, including equity investments in individual companies made in conjunction with our venture capital fund sponsors. As of September 30, 2025, $14.5 million or 50.3% of investments in the venture capital asset class consisted of investments in funds and $14.3 million or 49.7% consisted of direct equity investments in start-up companies. As of September 30, 2025, $15.1 million or 52.3% of our venture capital investments were invested in funds or companies that would be considered “insurtech” investments.</w:t>
      </w:r>
    </w:p>
    <w:p>
      <w:pPr>
        <w:pStyle w:val="TextBody"/>
        <w:bidi w:val="0"/>
        <w:spacing w:lineRule="auto" w:line="240" w:before="0" w:after="120"/>
        <w:ind w:left="0" w:right="0" w:firstLine="270"/>
        <w:jc w:val="both"/>
        <w:rPr/>
      </w:pPr>
      <w:r>
        <w:rPr>
          <w:color w:val="000000"/>
        </w:rPr>
        <w:t>•</w:t>
      </w:r>
      <w:r>
        <w:rPr>
          <w:rFonts w:ascii="Times New Roman;serif" w:hAnsi="Times New Roman;serif"/>
          <w:b w:val="false"/>
          <w:color w:val="000000"/>
          <w:sz w:val="20"/>
          <w:u w:val="single"/>
        </w:rPr>
        <w:t>Real Estate</w:t>
      </w:r>
      <w:r>
        <w:rPr>
          <w:color w:val="000000"/>
        </w:rPr>
        <w:t xml:space="preserve"> – </w:t>
      </w:r>
      <w:r>
        <w:rPr>
          <w:rFonts w:ascii="Times New Roman;serif" w:hAnsi="Times New Roman;serif"/>
          <w:b w:val="false"/>
          <w:color w:val="000000"/>
          <w:sz w:val="20"/>
        </w:rPr>
        <w:t xml:space="preserve">this asset class consists of long-term equity investments in three real estate projects. Two are multi-family residential development projects near major urban centers where workforce housing demand continues to be strong. One investment is a minority stake as a limited partner with a leading property developer with a highly successful track record, where the Company will earn returns from both operating income from rentals and future sales of properties. As of September 30, 2025, the fair value of this project is $46.0 million and the Company expects investment returns to commence in earnest in 2026 and beyond. The first properties developed with this project have been recently completed with occupancies now underway. The second multi-family residential investment is a majority stake with general partner rights wherein the Company is providing the capital backing to an experienced and successful developer in the subject market, while also taking minority equity stakes in individual projects. To date, this development project has secured five properties in attractive locations and is currently in the zoning and planning stages. As of September 30, 2025, the Company has $32.5 million invested in this project and has commenced earning limited amounts of fee income from this project. As part of its investment, the Company has also provided certain loan guarantees which are discussed in more detail in </w:t>
      </w:r>
      <w:r>
        <w:rPr>
          <w:rFonts w:ascii="Times New Roman;serif" w:hAnsi="Times New Roman;serif"/>
          <w:b w:val="false"/>
          <w:i/>
          <w:color w:val="000000"/>
          <w:sz w:val="20"/>
        </w:rPr>
        <w:t xml:space="preserve">Note 11 — Commitments, Contingencies and Guarantees </w:t>
      </w:r>
      <w:r>
        <w:rPr>
          <w:rFonts w:ascii="Times New Roman;serif" w:hAnsi="Times New Roman;serif"/>
          <w:b w:val="false"/>
          <w:color w:val="000000"/>
          <w:sz w:val="20"/>
        </w:rPr>
        <w:t xml:space="preserve">included in Part I Item 1. </w:t>
      </w:r>
      <w:r>
        <w:rPr>
          <w:rFonts w:ascii="Times New Roman;serif" w:hAnsi="Times New Roman;serif"/>
          <w:b w:val="false"/>
          <w:i/>
          <w:color w:val="000000"/>
          <w:sz w:val="20"/>
        </w:rPr>
        <w:t>"Financial Information"</w:t>
      </w:r>
      <w:r>
        <w:rPr>
          <w:rFonts w:ascii="Times New Roman;serif" w:hAnsi="Times New Roman;serif"/>
          <w:b w:val="false"/>
          <w:color w:val="000000"/>
          <w:sz w:val="20"/>
        </w:rPr>
        <w:t>. We expect fee and operating income and gains from future sales of properties to commence in earnest in 2027 and beyond. Finally, the Company has a minority equity stake in an iconic office building in a major city in the U.S., with an attractive and growing tenant roll. As of September 30, 2025, the Company has $6.3 million invested in this project and to date has earned preferred returns and received certain distributions. In addition to preferred returns, the Company expects to receive future distributions of operating income from this investment.</w:t>
      </w:r>
    </w:p>
    <w:p>
      <w:pPr>
        <w:pStyle w:val="TextBody"/>
        <w:bidi w:val="0"/>
        <w:spacing w:lineRule="auto" w:line="240" w:before="0" w:after="120"/>
        <w:ind w:left="0" w:right="0" w:firstLine="270"/>
        <w:jc w:val="both"/>
        <w:rPr/>
      </w:pPr>
      <w:r>
        <w:rPr>
          <w:rFonts w:ascii="Times New Roman;serif" w:hAnsi="Times New Roman;serif"/>
          <w:b w:val="false"/>
          <w:color w:val="000000"/>
          <w:sz w:val="20"/>
        </w:rPr>
        <w:t>As noted, c</w:t>
      </w:r>
      <w:r>
        <w:rPr>
          <w:rFonts w:ascii="Times New Roman;serif" w:hAnsi="Times New Roman;serif"/>
          <w:b w:val="false"/>
          <w:color w:val="000000"/>
          <w:sz w:val="20"/>
          <w:shd w:fill="FFFFFF" w:val="clear"/>
        </w:rPr>
        <w:t xml:space="preserve">ertain of the Company's investments in limited partnerships are related to real estate joint ventures with interests in multi-property projects with varying strategies ranging from the development of properties to the ownership of income-producing properties. In certain of these joint ventures, the Company has provided certain indemnities, guarantees and commitments to certain parties such that it may be required to make payments now or in the future. </w:t>
      </w:r>
      <w:r>
        <w:rPr>
          <w:rFonts w:ascii="Times New Roman;serif" w:hAnsi="Times New Roman;serif"/>
          <w:b w:val="false"/>
          <w:color w:val="000000"/>
          <w:sz w:val="20"/>
        </w:rPr>
        <w:t>For further details on these financial guarantees, please see "</w:t>
      </w:r>
      <w:r>
        <w:rPr>
          <w:rFonts w:ascii="Times New Roman;serif" w:hAnsi="Times New Roman;serif"/>
          <w:b w:val="false"/>
          <w:i/>
          <w:color w:val="000000"/>
          <w:sz w:val="20"/>
        </w:rPr>
        <w:t>Notes to Condensed Consolidated Financial Statements: Note 11 - Commitments, Contingencies and Guarantees"</w:t>
      </w:r>
      <w:r>
        <w:rPr>
          <w:color w:val="000000"/>
        </w:rPr>
        <w:t xml:space="preserve"> </w:t>
      </w:r>
      <w:r>
        <w:rPr>
          <w:rFonts w:ascii="Times New Roman;serif" w:hAnsi="Times New Roman;serif"/>
          <w:b w:val="false"/>
          <w:color w:val="000000"/>
          <w:sz w:val="20"/>
        </w:rPr>
        <w:t xml:space="preserve">included under Part I Item 1. </w:t>
      </w:r>
      <w:r>
        <w:rPr>
          <w:rFonts w:ascii="Times New Roman;serif" w:hAnsi="Times New Roman;serif"/>
          <w:b w:val="false"/>
          <w:i/>
          <w:color w:val="000000"/>
          <w:sz w:val="20"/>
        </w:rPr>
        <w:t>"Financial Information"</w:t>
      </w:r>
      <w:r>
        <w:rPr>
          <w:color w:val="000000"/>
        </w:rPr>
        <w:t xml:space="preserve"> </w:t>
      </w:r>
      <w:r>
        <w:rPr>
          <w:rFonts w:ascii="Times New Roman;serif" w:hAnsi="Times New Roman;serif"/>
          <w:b w:val="false"/>
          <w:color w:val="000000"/>
          <w:sz w:val="20"/>
        </w:rPr>
        <w:t>of this Report on Form 10-Q.</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40" w:before="0" w:after="120"/>
        <w:jc w:val="left"/>
        <w:rPr>
          <w:rFonts w:ascii="Times New Roman;serif" w:hAnsi="Times New Roman;serif"/>
          <w:b w:val="false"/>
          <w:i/>
          <w:color w:val="000000"/>
          <w:sz w:val="20"/>
        </w:rPr>
      </w:pPr>
      <w:r>
        <w:rPr>
          <w:rFonts w:ascii="Times New Roman;serif" w:hAnsi="Times New Roman;serif"/>
          <w:b w:val="false"/>
          <w:i/>
          <w:color w:val="000000"/>
          <w:sz w:val="20"/>
        </w:rPr>
        <w:t>Investment Results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investment portfolio returns included in earnings increased to $9.0 million and $11.6 million for the three and nine months ended September 30, 2025, respectively, compared to $0.1 million and $0.2 million for the same respective periods in 2024. This was largely due to the acquisition of Maiden's AFS fixed income and alternative investment portfolios in connection with the Combination. The Company earned unrealized gains on the alternative investment portfolio, as well as interest income on the net loan receivable from related party and the AFS fixed income portfolio.</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investment results for the three and nine months ended September 30, 2025 and 2024: </w:t>
      </w:r>
    </w:p>
    <w:tbl>
      <w:tblPr>
        <w:tblW w:w="10205" w:type="dxa"/>
        <w:jc w:val="left"/>
        <w:tblInd w:w="0" w:type="dxa"/>
        <w:tblLayout w:type="fixed"/>
        <w:tblCellMar>
          <w:top w:w="28" w:type="dxa"/>
          <w:left w:w="28" w:type="dxa"/>
          <w:bottom w:w="28" w:type="dxa"/>
          <w:right w:w="28" w:type="dxa"/>
        </w:tblCellMar>
      </w:tblPr>
      <w:tblGrid>
        <w:gridCol w:w="1360"/>
        <w:gridCol w:w="1073"/>
        <w:gridCol w:w="1069"/>
        <w:gridCol w:w="109"/>
        <w:gridCol w:w="109"/>
        <w:gridCol w:w="109"/>
        <w:gridCol w:w="267"/>
        <w:gridCol w:w="781"/>
        <w:gridCol w:w="381"/>
        <w:gridCol w:w="138"/>
        <w:gridCol w:w="138"/>
        <w:gridCol w:w="138"/>
        <w:gridCol w:w="267"/>
        <w:gridCol w:w="514"/>
        <w:gridCol w:w="381"/>
        <w:gridCol w:w="109"/>
        <w:gridCol w:w="109"/>
        <w:gridCol w:w="109"/>
        <w:gridCol w:w="248"/>
        <w:gridCol w:w="848"/>
        <w:gridCol w:w="353"/>
        <w:gridCol w:w="128"/>
        <w:gridCol w:w="128"/>
        <w:gridCol w:w="128"/>
        <w:gridCol w:w="248"/>
        <w:gridCol w:w="548"/>
        <w:gridCol w:w="415"/>
      </w:tblGrid>
      <w:tr>
        <w:trPr/>
        <w:tc>
          <w:tcPr>
            <w:tcW w:w="136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3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50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Fixed income investments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50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restricted cash</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8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8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35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4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Other investments, including equities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50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8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5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Net 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Fixed income assets</w:t>
            </w:r>
            <w:r>
              <w:rPr>
                <w:rFonts w:ascii="Times New Roman;serif" w:hAnsi="Times New Roman;serif"/>
                <w:b w:val="false"/>
                <w:color w:val="000000"/>
                <w:sz w:val="13"/>
              </w:rPr>
              <w:t>(1)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38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35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net 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Net unrealized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Other investments, including equities</w:t>
            </w:r>
            <w:r>
              <w:rPr>
                <w:rFonts w:ascii="Times New Roman;serif" w:hAnsi="Times New Roman;serif"/>
                <w:b w:val="false"/>
                <w:color w:val="000000"/>
                <w:sz w:val="13"/>
              </w:rPr>
              <w:t>(4)</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4,870 </w:t>
            </w:r>
          </w:p>
        </w:tc>
        <w:tc>
          <w:tcPr>
            <w:tcW w:w="38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35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net unrealized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in loss of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 loss of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8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5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Interest in loss of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investment return included in earnings</w:t>
            </w:r>
            <w:r>
              <w:rPr>
                <w:color w:val="000000"/>
              </w:rPr>
              <w:t xml:space="preserve"> </w:t>
            </w:r>
            <w:r>
              <w:rPr>
                <w:rFonts w:ascii="Times New Roman;serif" w:hAnsi="Times New Roman;serif"/>
                <w:b/>
                <w:color w:val="000000"/>
                <w:sz w:val="16"/>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8,964 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11,587 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Unrealized gains on AFS fixed maturity securities </w:t>
            </w:r>
            <w:r>
              <w:rPr>
                <w:rFonts w:ascii="Times New Roman;serif" w:hAnsi="Times New Roman;serif"/>
                <w:b/>
                <w:color w:val="000000"/>
                <w:sz w:val="16"/>
              </w:rPr>
              <w:t>(B)</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41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 return = (A) +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9,203</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12,304</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r>
      <w:tr>
        <w:trPr/>
        <w:tc>
          <w:tcPr>
            <w:tcW w:w="350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Annualized income from fixed income assets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13,320</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r>
      <w:tr>
        <w:trPr/>
        <w:tc>
          <w:tcPr>
            <w:tcW w:w="3502"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aggregate fixed income assets, at cost</w:t>
            </w:r>
            <w:r>
              <w:rPr>
                <w:rFonts w:ascii="Times New Roman;serif" w:hAnsi="Times New Roman;serif"/>
                <w:b w:val="false"/>
                <w:color w:val="000000"/>
                <w:sz w:val="13"/>
              </w:rPr>
              <w:t>(2)</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355,331</w:t>
            </w:r>
          </w:p>
        </w:tc>
        <w:tc>
          <w:tcPr>
            <w:tcW w:w="41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4,744</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178,191</w:t>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5,027</w:t>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Annualized investment book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w:t>
            </w: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50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aggregate invested assets, at fair value</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566,992</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286,379</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w:t>
            </w:r>
          </w:p>
        </w:tc>
      </w:tr>
      <w:tr>
        <w:trPr/>
        <w:tc>
          <w:tcPr>
            <w:tcW w:w="3502"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return included in net earnings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38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1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38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w:t>
            </w:r>
            <w:r>
              <w:rPr>
                <w:color w:val="000000"/>
              </w:rPr>
              <w:t> </w:t>
            </w:r>
          </w:p>
        </w:tc>
        <w:tc>
          <w:tcPr>
            <w:tcW w:w="353"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8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41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 return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40" w:before="0" w:after="6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1.Fixed income investments include AFS securities as well as funds withheld receivable, and net loan receivable from related party. Gross and net investment returns for these assets only include the post-Combination period of May 28, 2025 to September 30, 2025.</w:t>
      </w:r>
    </w:p>
    <w:p>
      <w:pPr>
        <w:pStyle w:val="TextBody"/>
        <w:bidi w:val="0"/>
        <w:spacing w:lineRule="auto" w:line="240" w:before="0" w:after="6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2.Average aggregate fixed income assets include AFS portfolio, cash and restricted cash, funds withheld receivable, and loan to related party and is computed as an average of the amounts disclosed in our quarterly U.S. GAAP consolidated financial statements.</w:t>
      </w:r>
    </w:p>
    <w:p>
      <w:pPr>
        <w:pStyle w:val="TextBody"/>
        <w:bidi w:val="0"/>
        <w:spacing w:lineRule="auto" w:line="240" w:before="0" w:after="6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3.Average aggregate invested assets include all investments (AFS and alternative investments), cash and restricted cash, loan to related party and funds withheld receivable and is computed as an average of the amounts disclosed in our quarterly U.S. GAAP consolidated financial statements.</w:t>
      </w:r>
    </w:p>
    <w:p>
      <w:pPr>
        <w:pStyle w:val="TextBody"/>
        <w:bidi w:val="0"/>
        <w:spacing w:lineRule="auto" w:line="240" w:before="0" w:after="6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4.Gross and net investment returns for other investments, including equities, only include the post-Combination period of May 28, 2025 to September 30, 2025.</w:t>
      </w:r>
    </w:p>
    <w:p>
      <w:pPr>
        <w:pStyle w:val="TextBody"/>
        <w:bidi w:val="0"/>
        <w:spacing w:before="12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total investment returns for our fixed income investments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1146"/>
        <w:gridCol w:w="1009"/>
        <w:gridCol w:w="1011"/>
        <w:gridCol w:w="109"/>
        <w:gridCol w:w="109"/>
        <w:gridCol w:w="109"/>
        <w:gridCol w:w="285"/>
        <w:gridCol w:w="834"/>
        <w:gridCol w:w="407"/>
        <w:gridCol w:w="147"/>
        <w:gridCol w:w="147"/>
        <w:gridCol w:w="147"/>
        <w:gridCol w:w="285"/>
        <w:gridCol w:w="549"/>
        <w:gridCol w:w="407"/>
        <w:gridCol w:w="109"/>
        <w:gridCol w:w="109"/>
        <w:gridCol w:w="109"/>
        <w:gridCol w:w="270"/>
        <w:gridCol w:w="789"/>
        <w:gridCol w:w="385"/>
        <w:gridCol w:w="139"/>
        <w:gridCol w:w="139"/>
        <w:gridCol w:w="139"/>
        <w:gridCol w:w="270"/>
        <w:gridCol w:w="597"/>
        <w:gridCol w:w="449"/>
      </w:tblGrid>
      <w:tr>
        <w:trPr/>
        <w:tc>
          <w:tcPr>
            <w:tcW w:w="114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Fixed Income Investments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3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66"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40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0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4,813 </w:t>
            </w:r>
          </w:p>
        </w:tc>
        <w:tc>
          <w:tcPr>
            <w:tcW w:w="38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44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3166"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Change in AOCI</w:t>
            </w:r>
            <w:r>
              <w:rPr>
                <w:color w:val="000000"/>
              </w:rPr>
              <w:t xml:space="preserve"> </w:t>
            </w:r>
            <w:r>
              <w:rPr>
                <w:rFonts w:ascii="Times New Roman;serif" w:hAnsi="Times New Roman;serif"/>
                <w:b w:val="false"/>
                <w:color w:val="000000"/>
                <w:sz w:val="13"/>
              </w:rPr>
              <w:t>(3)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40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385"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investment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4,193 </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6,918 </w:t>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4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166"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Average invested assets, at fair value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355,928</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178,549</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w:t>
            </w:r>
          </w:p>
        </w:tc>
      </w:tr>
      <w:tr>
        <w:trPr/>
        <w:tc>
          <w:tcPr>
            <w:tcW w:w="316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Investment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w:t>
            </w:r>
            <w:r>
              <w:rPr>
                <w:color w:val="000000"/>
              </w:rPr>
              <w:t>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16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Investment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investment returns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40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0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6,870 </w:t>
            </w:r>
          </w:p>
        </w:tc>
        <w:tc>
          <w:tcPr>
            <w:tcW w:w="385"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44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Investment Returns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40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4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40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38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1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449"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40" w:before="100" w:after="120"/>
        <w:ind w:left="0" w:right="0" w:firstLine="270"/>
        <w:jc w:val="both"/>
        <w:rPr/>
      </w:pPr>
      <w:r>
        <w:rPr>
          <w:rFonts w:ascii="Times New Roman;serif" w:hAnsi="Times New Roman;serif"/>
          <w:b w:val="false"/>
          <w:color w:val="000000"/>
          <w:sz w:val="20"/>
        </w:rPr>
        <w:t xml:space="preserve">Our net investment returns increased to 1.2% and 3.8% for the three and nine months ended September 30, 2025, compared to 1.1% and 3.4% for the respective periods in 2024. The floating rate investments comprise 48.2% of our fixed income investments at September 30, 2025. The net loan receivable from related party had an outstanding net balance of </w:t>
      </w:r>
      <w:r>
        <w:rPr>
          <w:rFonts w:ascii="Times New Roman;serif" w:hAnsi="Times New Roman;serif"/>
          <w:b w:val="false"/>
          <w:color w:val="000000"/>
          <w:sz w:val="20"/>
          <w:shd w:fill="FFFFFF" w:val="clear"/>
        </w:rPr>
        <w:t>$101.7 million at September 30, 2025</w:t>
      </w:r>
      <w:r>
        <w:rPr>
          <w:color w:val="000000"/>
        </w:rPr>
        <w:t xml:space="preserve"> </w:t>
      </w:r>
      <w:r>
        <w:rPr>
          <w:rFonts w:ascii="Times New Roman;serif" w:hAnsi="Times New Roman;serif"/>
          <w:b w:val="false"/>
          <w:color w:val="000000"/>
          <w:sz w:val="20"/>
        </w:rPr>
        <w:t>with an average yield of 6.1% and 6.2% for the three and nine months ended September 30, 2025, respectively.</w:t>
      </w:r>
    </w:p>
    <w:p>
      <w:pPr>
        <w:pStyle w:val="TextBody"/>
        <w:bidi w:val="0"/>
        <w:spacing w:lineRule="auto" w:line="240" w:before="100" w:after="120"/>
        <w:ind w:left="0" w:right="0" w:firstLine="270"/>
        <w:jc w:val="both"/>
        <w:rPr/>
      </w:pPr>
      <w:r>
        <w:rPr>
          <w:rFonts w:ascii="Times New Roman;serif" w:hAnsi="Times New Roman;serif"/>
          <w:b w:val="false"/>
          <w:color w:val="000000"/>
          <w:sz w:val="20"/>
        </w:rPr>
        <w:t>Please refer to "</w:t>
      </w:r>
      <w:r>
        <w:rPr>
          <w:rFonts w:ascii="Times New Roman;serif" w:hAnsi="Times New Roman;serif"/>
          <w:b w:val="false"/>
          <w:i/>
          <w:color w:val="000000"/>
          <w:sz w:val="20"/>
        </w:rPr>
        <w:t>Notes to Condensed Consolidated Financial Statements - Note 4 — Investments</w:t>
      </w:r>
      <w:r>
        <w:rPr>
          <w:rFonts w:ascii="Times New Roman;serif" w:hAnsi="Times New Roman;serif"/>
          <w:b w:val="false"/>
          <w:color w:val="000000"/>
          <w:sz w:val="20"/>
        </w:rPr>
        <w:t>" included under Part I,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 xml:space="preserve">of this Quarterly Report on Form 10-Q for further detail on investment returns from fixed income investments held by the Company at September 30, 2025 and 2024. </w:t>
      </w:r>
    </w:p>
    <w:p>
      <w:pPr>
        <w:pStyle w:val="TextBody"/>
        <w:bidi w:val="0"/>
        <w:spacing w:lineRule="auto" w:line="240" w:before="10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total investment returns for our alternative investments for the three and nine months ended September 30, 2025, respectively:</w:t>
      </w:r>
    </w:p>
    <w:tbl>
      <w:tblPr>
        <w:tblW w:w="10205" w:type="dxa"/>
        <w:jc w:val="left"/>
        <w:tblInd w:w="0" w:type="dxa"/>
        <w:tblLayout w:type="fixed"/>
        <w:tblCellMar>
          <w:top w:w="28" w:type="dxa"/>
          <w:left w:w="28" w:type="dxa"/>
          <w:bottom w:w="28" w:type="dxa"/>
          <w:right w:w="28" w:type="dxa"/>
        </w:tblCellMar>
      </w:tblPr>
      <w:tblGrid>
        <w:gridCol w:w="1112"/>
        <w:gridCol w:w="978"/>
        <w:gridCol w:w="980"/>
        <w:gridCol w:w="109"/>
        <w:gridCol w:w="109"/>
        <w:gridCol w:w="109"/>
        <w:gridCol w:w="568"/>
        <w:gridCol w:w="1660"/>
        <w:gridCol w:w="810"/>
        <w:gridCol w:w="109"/>
        <w:gridCol w:w="109"/>
        <w:gridCol w:w="109"/>
        <w:gridCol w:w="109"/>
        <w:gridCol w:w="109"/>
        <w:gridCol w:w="553"/>
        <w:gridCol w:w="1616"/>
        <w:gridCol w:w="789"/>
        <w:gridCol w:w="109"/>
        <w:gridCol w:w="158"/>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Alternative Investments</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267" w:type="dxa"/>
            <w:gridSpan w:val="2"/>
            <w:tcBorders/>
          </w:tcPr>
          <w:p>
            <w:pPr>
              <w:pStyle w:val="TableContents"/>
              <w:bidi w:val="0"/>
              <w:spacing w:before="0" w:after="283"/>
              <w:jc w:val="left"/>
              <w:rPr>
                <w:sz w:val="4"/>
                <w:szCs w:val="4"/>
              </w:rPr>
            </w:pPr>
            <w:r>
              <w:rPr>
                <w:sz w:val="4"/>
                <w:szCs w:val="4"/>
              </w:rPr>
            </w:r>
          </w:p>
        </w:tc>
      </w:tr>
      <w:tr>
        <w:trPr/>
        <w:tc>
          <w:tcPr>
            <w:tcW w:w="3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81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78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Gross investment returns</w:t>
            </w:r>
            <w:r>
              <w:rPr>
                <w:rFonts w:ascii="Times New Roman;serif" w:hAnsi="Times New Roman;serif"/>
                <w:b w:val="false"/>
                <w:color w:val="000000"/>
                <w:sz w:val="13"/>
              </w:rPr>
              <w:t>(5)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5,077 </w:t>
            </w:r>
          </w:p>
        </w:tc>
        <w:tc>
          <w:tcPr>
            <w:tcW w:w="81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5,455 </w:t>
            </w:r>
          </w:p>
        </w:tc>
        <w:tc>
          <w:tcPr>
            <w:tcW w:w="789"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35"/>
              <w:jc w:val="left"/>
              <w:rPr>
                <w:sz w:val="4"/>
                <w:szCs w:val="4"/>
              </w:rPr>
            </w:pPr>
            <w:r>
              <w:rPr>
                <w:sz w:val="4"/>
                <w:szCs w:val="4"/>
              </w:rPr>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Average invested assets, at fair value </w:t>
            </w:r>
            <w:r>
              <w:rPr>
                <w:rFonts w:ascii="Times New Roman;serif" w:hAnsi="Times New Roman;serif"/>
                <w:b w:val="false"/>
                <w:color w:val="000000"/>
                <w:sz w:val="13"/>
              </w:rPr>
              <w:t>(4)</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7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211,064</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0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107,830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Gross Investment Returns</w:t>
            </w:r>
            <w:r>
              <w:rPr>
                <w:rFonts w:ascii="Times New Roman;serif" w:hAnsi="Times New Roman;serif"/>
                <w:b/>
                <w:color w:val="000000"/>
                <w:sz w:val="13"/>
              </w:rPr>
              <w:t>(5)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w:t>
            </w:r>
            <w:r>
              <w:rPr>
                <w:color w:val="000000"/>
              </w:rPr>
              <w:t> </w:t>
            </w:r>
          </w:p>
        </w:tc>
        <w:tc>
          <w:tcPr>
            <w:tcW w:w="810"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789"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Investment expenses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0"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81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78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5,056 </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5,434 </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8"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Net Investment Returns</w:t>
            </w:r>
            <w:r>
              <w:rPr>
                <w:rFonts w:ascii="Times New Roman;serif" w:hAnsi="Times New Roman;serif"/>
                <w:b/>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w:t>
            </w:r>
            <w:r>
              <w:rPr>
                <w:color w:val="000000"/>
              </w:rPr>
              <w:t> </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00" w:after="60"/>
        <w:ind w:left="0" w:right="0" w:hanging="180"/>
        <w:jc w:val="both"/>
        <w:rPr/>
      </w:pPr>
      <w:r>
        <w:rPr>
          <w:rFonts w:ascii="Times New Roman;serif" w:hAnsi="Times New Roman;serif"/>
          <w:b/>
          <w:i/>
          <w:color w:val="000000"/>
          <w:sz w:val="16"/>
        </w:rPr>
        <w:t>1.</w:t>
      </w:r>
      <w:r>
        <w:rPr>
          <w:rFonts w:ascii="Times New Roman;serif" w:hAnsi="Times New Roman;serif"/>
          <w:b w:val="false"/>
          <w:color w:val="000000"/>
          <w:sz w:val="16"/>
        </w:rPr>
        <w:t>Fixed income investments includes AFS securities as well as cash, restricted cash, funds withheld receivable, and loan to related party.</w:t>
      </w:r>
    </w:p>
    <w:p>
      <w:pPr>
        <w:pStyle w:val="TextBody"/>
        <w:bidi w:val="0"/>
        <w:spacing w:lineRule="auto" w:line="240" w:before="0" w:after="6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2.Alternative investments includes other investments, equity securities, and equity method investments.</w:t>
      </w:r>
    </w:p>
    <w:p>
      <w:pPr>
        <w:pStyle w:val="TextBody"/>
        <w:bidi w:val="0"/>
        <w:spacing w:lineRule="auto" w:line="240" w:before="0" w:after="6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3.Change in accumulated other comprehensive income ("AOCI") excludes unrealized foreign exchange gains and losses.</w:t>
      </w:r>
    </w:p>
    <w:p>
      <w:pPr>
        <w:pStyle w:val="TextBody"/>
        <w:bidi w:val="0"/>
        <w:spacing w:lineRule="auto" w:line="240" w:before="0" w:after="6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4.Average invested assets is the average of the amounts disclosed in our quarterly U.S. GAAP consolidated financial statements.</w:t>
      </w:r>
    </w:p>
    <w:p>
      <w:pPr>
        <w:pStyle w:val="TextBody"/>
        <w:bidi w:val="0"/>
        <w:spacing w:lineRule="auto" w:line="240" w:before="0" w:after="6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5.Gross and net investment returns for alternative investments only include the post-Combination period of May 28, 2025 to September 30, 2025.</w:t>
      </w:r>
    </w:p>
    <w:p>
      <w:pPr>
        <w:pStyle w:val="TextBody"/>
        <w:bidi w:val="0"/>
        <w:spacing w:before="180" w:after="120"/>
        <w:ind w:left="0" w:right="0" w:firstLine="270"/>
        <w:jc w:val="both"/>
        <w:rPr/>
      </w:pPr>
      <w:r>
        <w:rPr/>
      </w:r>
    </w:p>
    <w:p>
      <w:pPr>
        <w:pStyle w:val="TextBody"/>
        <w:bidi w:val="0"/>
        <w:spacing w:before="12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40"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total investment returns for alternative investments by asset class for the nine months ended September 30, 2025:</w:t>
      </w:r>
    </w:p>
    <w:tbl>
      <w:tblPr>
        <w:tblW w:w="10205" w:type="dxa"/>
        <w:jc w:val="center"/>
        <w:tblInd w:w="0" w:type="dxa"/>
        <w:tblLayout w:type="fixed"/>
        <w:tblCellMar>
          <w:top w:w="28" w:type="dxa"/>
          <w:left w:w="28" w:type="dxa"/>
          <w:bottom w:w="28" w:type="dxa"/>
          <w:right w:w="28" w:type="dxa"/>
        </w:tblCellMar>
      </w:tblPr>
      <w:tblGrid>
        <w:gridCol w:w="732"/>
        <w:gridCol w:w="552"/>
        <w:gridCol w:w="557"/>
        <w:gridCol w:w="109"/>
        <w:gridCol w:w="109"/>
        <w:gridCol w:w="109"/>
        <w:gridCol w:w="352"/>
        <w:gridCol w:w="154"/>
        <w:gridCol w:w="431"/>
        <w:gridCol w:w="109"/>
        <w:gridCol w:w="109"/>
        <w:gridCol w:w="109"/>
        <w:gridCol w:w="347"/>
        <w:gridCol w:w="152"/>
        <w:gridCol w:w="424"/>
        <w:gridCol w:w="109"/>
        <w:gridCol w:w="109"/>
        <w:gridCol w:w="109"/>
        <w:gridCol w:w="109"/>
        <w:gridCol w:w="109"/>
        <w:gridCol w:w="403"/>
        <w:gridCol w:w="231"/>
        <w:gridCol w:w="577"/>
        <w:gridCol w:w="109"/>
        <w:gridCol w:w="109"/>
        <w:gridCol w:w="109"/>
        <w:gridCol w:w="338"/>
        <w:gridCol w:w="236"/>
        <w:gridCol w:w="531"/>
        <w:gridCol w:w="109"/>
        <w:gridCol w:w="109"/>
        <w:gridCol w:w="109"/>
        <w:gridCol w:w="272"/>
        <w:gridCol w:w="192"/>
        <w:gridCol w:w="484"/>
        <w:gridCol w:w="109"/>
        <w:gridCol w:w="109"/>
        <w:gridCol w:w="109"/>
        <w:gridCol w:w="218"/>
        <w:gridCol w:w="203"/>
        <w:gridCol w:w="639"/>
      </w:tblGrid>
      <w:tr>
        <w:trPr/>
        <w:tc>
          <w:tcPr>
            <w:tcW w:w="73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1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Private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Private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Alternative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Venture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hanging="135"/>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0" w:type="dxa"/>
            <w:gridSpan w:val="2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1387" w:type="dxa"/>
            <w:gridSpan w:val="6"/>
            <w:tcBorders/>
          </w:tcPr>
          <w:p>
            <w:pPr>
              <w:pStyle w:val="TableContents"/>
              <w:bidi w:val="0"/>
              <w:spacing w:before="0" w:after="283"/>
              <w:jc w:val="left"/>
              <w:rPr>
                <w:sz w:val="4"/>
                <w:szCs w:val="4"/>
              </w:rPr>
            </w:pPr>
            <w:r>
              <w:rPr>
                <w:sz w:val="4"/>
                <w:szCs w:val="4"/>
              </w:rPr>
            </w:r>
          </w:p>
        </w:tc>
      </w:tr>
      <w:tr>
        <w:trPr/>
        <w:tc>
          <w:tcPr>
            <w:tcW w:w="184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investment income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w:t>
            </w:r>
          </w:p>
        </w:tc>
      </w:tr>
      <w:tr>
        <w:trPr/>
        <w:tc>
          <w:tcPr>
            <w:tcW w:w="1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184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 Return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5,455</w:t>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$8,227</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$767</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42,016</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14,403</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42,418</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107,830</w:t>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Investment Returns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43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w:t>
            </w:r>
            <w:r>
              <w:rPr>
                <w:color w:val="000000"/>
              </w:rPr>
              <w:t> </w:t>
            </w:r>
          </w:p>
        </w:tc>
        <w:tc>
          <w:tcPr>
            <w:tcW w:w="42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w:t>
            </w:r>
            <w:r>
              <w:rPr>
                <w:color w:val="000000"/>
              </w:rPr>
              <w:t> </w:t>
            </w:r>
          </w:p>
        </w:tc>
        <w:tc>
          <w:tcPr>
            <w:tcW w:w="57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w:t>
            </w:r>
            <w:r>
              <w:rPr>
                <w:color w:val="000000"/>
              </w:rPr>
              <w:t> </w:t>
            </w:r>
          </w:p>
        </w:tc>
        <w:tc>
          <w:tcPr>
            <w:tcW w:w="53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48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639"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80" w:after="283"/>
        <w:jc w:val="both"/>
        <w:rPr>
          <w:rFonts w:ascii="Times New Roman;serif" w:hAnsi="Times New Roman;serif"/>
          <w:b/>
          <w:i/>
          <w:color w:val="000000"/>
          <w:sz w:val="20"/>
        </w:rPr>
      </w:pPr>
      <w:r>
        <w:rPr>
          <w:rFonts w:ascii="Times New Roman;serif" w:hAnsi="Times New Roman;serif"/>
          <w:b/>
          <w:i/>
          <w:color w:val="000000"/>
          <w:sz w:val="20"/>
        </w:rPr>
        <w:t xml:space="preserve">Other Balance Sheet Changes </w:t>
      </w:r>
    </w:p>
    <w:p>
      <w:pPr>
        <w:pStyle w:val="TextBody"/>
        <w:bidi w:val="0"/>
        <w:spacing w:lineRule="auto" w:line="240" w:before="60" w:after="120"/>
        <w:jc w:val="both"/>
        <w:rPr/>
      </w:pPr>
      <w:r>
        <w:rPr>
          <w:rFonts w:ascii="Times New Roman;serif" w:hAnsi="Times New Roman;serif"/>
          <w:b w:val="false"/>
          <w:color w:val="000000"/>
          <w:sz w:val="20"/>
        </w:rPr>
        <w:t xml:space="preserve">The following table summarizes other material balance sheet changes at September 30, 2025 compared to December 31, 2024. Substantially all of the increases in the balance sheet items below relate to the completion of the Combination with Maiden on May 27, 2025, as discussed in </w:t>
      </w:r>
      <w:r>
        <w:rPr>
          <w:rFonts w:ascii="Times New Roman;serif" w:hAnsi="Times New Roman;serif"/>
          <w:b w:val="false"/>
          <w:i/>
          <w:color w:val="000000"/>
          <w:sz w:val="20"/>
        </w:rPr>
        <w:t>Part I, Item 1 - Notes to Condensed Consolidated Financial Statements (unaudited) "Note 4. Investments</w:t>
      </w:r>
      <w:r>
        <w:rPr>
          <w:rFonts w:ascii="Times New Roman;serif" w:hAnsi="Times New Roman;serif"/>
          <w:b w:val="false"/>
          <w:color w:val="000000"/>
          <w:sz w:val="20"/>
        </w:rPr>
        <w:t xml:space="preserve">" and </w:t>
      </w:r>
      <w:r>
        <w:rPr>
          <w:rFonts w:ascii="Times New Roman;serif" w:hAnsi="Times New Roman;serif"/>
          <w:b w:val="false"/>
          <w:i/>
          <w:color w:val="000000"/>
          <w:sz w:val="20"/>
        </w:rPr>
        <w:t>"Note 15. Business Combination"</w:t>
      </w:r>
      <w:r>
        <w:rPr>
          <w:color w:val="000000"/>
        </w:rPr>
        <w:t xml:space="preserve"> </w:t>
      </w:r>
      <w:r>
        <w:rPr>
          <w:rFonts w:ascii="Times New Roman;serif" w:hAnsi="Times New Roman;serif"/>
          <w:b w:val="false"/>
          <w:color w:val="000000"/>
          <w:sz w:val="20"/>
        </w:rPr>
        <w:t xml:space="preserve">included in this Form 10-Q: </w:t>
      </w:r>
    </w:p>
    <w:tbl>
      <w:tblPr>
        <w:tblW w:w="8774" w:type="dxa"/>
        <w:jc w:val="center"/>
        <w:tblInd w:w="0" w:type="dxa"/>
        <w:tblLayout w:type="fixed"/>
        <w:tblCellMar>
          <w:top w:w="28" w:type="dxa"/>
          <w:left w:w="28" w:type="dxa"/>
          <w:bottom w:w="28" w:type="dxa"/>
          <w:right w:w="28" w:type="dxa"/>
        </w:tblCellMar>
      </w:tblPr>
      <w:tblGrid>
        <w:gridCol w:w="1273"/>
        <w:gridCol w:w="1117"/>
        <w:gridCol w:w="1120"/>
        <w:gridCol w:w="109"/>
        <w:gridCol w:w="109"/>
        <w:gridCol w:w="109"/>
        <w:gridCol w:w="348"/>
        <w:gridCol w:w="1017"/>
        <w:gridCol w:w="180"/>
        <w:gridCol w:w="109"/>
        <w:gridCol w:w="109"/>
        <w:gridCol w:w="109"/>
        <w:gridCol w:w="436"/>
        <w:gridCol w:w="837"/>
        <w:gridCol w:w="227"/>
        <w:gridCol w:w="109"/>
        <w:gridCol w:w="109"/>
        <w:gridCol w:w="109"/>
        <w:gridCol w:w="220"/>
        <w:gridCol w:w="642"/>
        <w:gridCol w:w="113"/>
        <w:gridCol w:w="109"/>
        <w:gridCol w:w="154"/>
      </w:tblGrid>
      <w:tr>
        <w:trPr/>
        <w:tc>
          <w:tcPr>
            <w:tcW w:w="127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Reinsurance balances receivable, net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9,706 </w:t>
            </w:r>
          </w:p>
        </w:tc>
        <w:tc>
          <w:tcPr>
            <w:tcW w:w="18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9,706 </w:t>
            </w:r>
          </w:p>
        </w:tc>
        <w:tc>
          <w:tcPr>
            <w:tcW w:w="11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Reinsurance recoverable on unpaid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492,790 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loan receivable from related party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101,689 </w:t>
            </w:r>
          </w:p>
        </w:tc>
        <w:tc>
          <w:tcPr>
            <w:tcW w:w="18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101,689 </w:t>
            </w:r>
          </w:p>
        </w:tc>
        <w:tc>
          <w:tcPr>
            <w:tcW w:w="11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Funds withheld receivable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8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1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Reserve for loss and LAE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677,667 </w:t>
            </w:r>
          </w:p>
        </w:tc>
        <w:tc>
          <w:tcPr>
            <w:tcW w:w="18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677,667 </w:t>
            </w:r>
          </w:p>
        </w:tc>
        <w:tc>
          <w:tcPr>
            <w:tcW w:w="11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Liability for investments purchased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11,692 </w:t>
            </w:r>
          </w:p>
        </w:tc>
        <w:tc>
          <w:tcPr>
            <w:tcW w:w="18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11,692 </w:t>
            </w:r>
          </w:p>
        </w:tc>
        <w:tc>
          <w:tcPr>
            <w:tcW w:w="11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102,874 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net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174,084 </w:t>
            </w:r>
          </w:p>
        </w:tc>
        <w:tc>
          <w:tcPr>
            <w:tcW w:w="18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174,084 </w:t>
            </w:r>
          </w:p>
        </w:tc>
        <w:tc>
          <w:tcPr>
            <w:tcW w:w="11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 xml:space="preserve">Capital Resources </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During the nine months ended September 30, 2025, book value per common share increased to $18.57 and diluted book value per common share increased to $18.25, compared to $1.67 at December 31, 2024. This was due to the Combination completed on May 27, 2025, which produced substantially all of the increase in shareholders' equity for the nine months ended September 30, 2025 as described in discussed in </w:t>
      </w:r>
      <w:r>
        <w:rPr>
          <w:rFonts w:ascii="Times New Roman;serif" w:hAnsi="Times New Roman;serif"/>
          <w:b w:val="false"/>
          <w:i/>
          <w:color w:val="000000"/>
          <w:sz w:val="20"/>
        </w:rPr>
        <w:t>Part I, Item 1 - Notes to Condensed Consolidated Financial Statements (unaudited) "Note 1. Basis of Presentation</w:t>
      </w:r>
      <w:r>
        <w:rPr>
          <w:rFonts w:ascii="Times New Roman;serif" w:hAnsi="Times New Roman;serif"/>
          <w:b w:val="false"/>
          <w:color w:val="000000"/>
          <w:sz w:val="20"/>
        </w:rPr>
        <w:t xml:space="preserve">" and </w:t>
      </w:r>
      <w:r>
        <w:rPr>
          <w:rFonts w:ascii="Times New Roman;serif" w:hAnsi="Times New Roman;serif"/>
          <w:b w:val="false"/>
          <w:i/>
          <w:color w:val="000000"/>
          <w:sz w:val="20"/>
        </w:rPr>
        <w:t>"Note 15. Business Combination"</w:t>
      </w:r>
      <w:r>
        <w:rPr>
          <w:color w:val="000000"/>
        </w:rPr>
        <w:t xml:space="preserve"> </w:t>
      </w:r>
      <w:r>
        <w:rPr>
          <w:rFonts w:ascii="Times New Roman;serif" w:hAnsi="Times New Roman;serif"/>
          <w:b w:val="false"/>
          <w:color w:val="000000"/>
          <w:sz w:val="20"/>
        </w:rPr>
        <w:t>included in this Form 10-Q.</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Capital resources consist of funds deployed in support of our operations. The following table shows the movement in our capital resources at September 30, 2025 and December 31, 2024:</w:t>
      </w:r>
    </w:p>
    <w:tbl>
      <w:tblPr>
        <w:tblW w:w="8793" w:type="dxa"/>
        <w:jc w:val="center"/>
        <w:tblInd w:w="0" w:type="dxa"/>
        <w:tblLayout w:type="fixed"/>
        <w:tblCellMar>
          <w:top w:w="28" w:type="dxa"/>
          <w:left w:w="28" w:type="dxa"/>
          <w:bottom w:w="28" w:type="dxa"/>
          <w:right w:w="28" w:type="dxa"/>
        </w:tblCellMar>
      </w:tblPr>
      <w:tblGrid>
        <w:gridCol w:w="1218"/>
        <w:gridCol w:w="1069"/>
        <w:gridCol w:w="1072"/>
        <w:gridCol w:w="109"/>
        <w:gridCol w:w="109"/>
        <w:gridCol w:w="109"/>
        <w:gridCol w:w="284"/>
        <w:gridCol w:w="1114"/>
        <w:gridCol w:w="147"/>
        <w:gridCol w:w="109"/>
        <w:gridCol w:w="109"/>
        <w:gridCol w:w="109"/>
        <w:gridCol w:w="338"/>
        <w:gridCol w:w="987"/>
        <w:gridCol w:w="174"/>
        <w:gridCol w:w="109"/>
        <w:gridCol w:w="109"/>
        <w:gridCol w:w="109"/>
        <w:gridCol w:w="211"/>
        <w:gridCol w:w="826"/>
        <w:gridCol w:w="109"/>
        <w:gridCol w:w="109"/>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at par value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4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177,101 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4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shares, at cost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(51,463)</w:t>
            </w:r>
          </w:p>
        </w:tc>
        <w:tc>
          <w:tcPr>
            <w:tcW w:w="14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(51,463)</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Kestrel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143,774 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335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 carrying value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147"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capital resources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406,135 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Total capital resources increased by $401.5 million compared to December 31, 2024 due to the following items:</w:t>
      </w:r>
    </w:p>
    <w:p>
      <w:pPr>
        <w:pStyle w:val="TextBody"/>
        <w:bidi w:val="0"/>
        <w:spacing w:lineRule="auto" w:line="240" w:before="0" w:after="60"/>
        <w:ind w:left="0" w:right="0" w:hanging="90"/>
        <w:jc w:val="both"/>
        <w:rPr/>
      </w:pPr>
      <w:r>
        <w:rPr>
          <w:color w:val="000000"/>
        </w:rPr>
        <w:t>•</w:t>
      </w:r>
      <w:r>
        <w:rPr>
          <w:rFonts w:ascii="Times New Roman;serif" w:hAnsi="Times New Roman;serif"/>
          <w:b w:val="false"/>
          <w:color w:val="000000"/>
          <w:sz w:val="20"/>
        </w:rPr>
        <w:t>retained earnings increased by $24.5 million due to net income of $64.5 million reported for the nine months ended September 30, 2025 partly offset by a $40.0 million cash distribution to shareholders at closing of the Combination;</w:t>
      </w:r>
    </w:p>
    <w:p>
      <w:pPr>
        <w:pStyle w:val="TextBody"/>
        <w:bidi w:val="0"/>
        <w:spacing w:lineRule="auto" w:line="240" w:before="0" w:after="60"/>
        <w:ind w:left="0" w:right="0" w:hanging="90"/>
        <w:jc w:val="both"/>
        <w:rPr/>
      </w:pPr>
      <w:r>
        <w:rPr>
          <w:color w:val="000000"/>
        </w:rPr>
        <w:t>•</w:t>
      </w:r>
      <w:r>
        <w:rPr>
          <w:rFonts w:ascii="Times New Roman;serif" w:hAnsi="Times New Roman;serif"/>
          <w:b w:val="false"/>
          <w:color w:val="000000"/>
          <w:sz w:val="20"/>
        </w:rPr>
        <w:t>additional paid-in capital increased by $167.0 million largely due to common shares issued as consideration for the Combination of $166.5 million as well as stock based compensation expense of $0.5 million;</w:t>
      </w:r>
    </w:p>
    <w:p>
      <w:pPr>
        <w:pStyle w:val="TextBody"/>
        <w:bidi w:val="0"/>
        <w:spacing w:lineRule="auto" w:line="240" w:before="0" w:after="60"/>
        <w:ind w:left="0" w:right="0" w:hanging="90"/>
        <w:jc w:val="both"/>
        <w:rPr/>
      </w:pPr>
      <w:r>
        <w:rPr>
          <w:color w:val="000000"/>
        </w:rPr>
        <w:t>•</w:t>
      </w:r>
      <w:r>
        <w:rPr>
          <w:rFonts w:ascii="Times New Roman;serif" w:hAnsi="Times New Roman;serif"/>
          <w:b w:val="false"/>
          <w:color w:val="000000"/>
          <w:sz w:val="20"/>
        </w:rPr>
        <w:t>AOCI decreased by $0.9 million driven by: (1) net unrealized gains of $0.7 million on our AFS investment portfolio due to market price movements in the nine months ended September 30, 2025, and (2) a decrease in foreign currency translation adjustment of $1.6 million in the nine months ended September 30, 2025 due to the impact of depreciation of the U.S. dollar on the re-measurement of net assets denominated in British pound and euro; and</w:t>
      </w:r>
    </w:p>
    <w:p>
      <w:pPr>
        <w:pStyle w:val="TextBody"/>
        <w:bidi w:val="0"/>
        <w:spacing w:lineRule="auto" w:line="240" w:before="0" w:after="120"/>
        <w:ind w:left="0" w:right="0" w:hanging="90"/>
        <w:jc w:val="both"/>
        <w:rPr/>
      </w:pPr>
      <w:r>
        <w:rPr>
          <w:color w:val="000000"/>
        </w:rPr>
        <w:t>•</w:t>
      </w:r>
      <w:r>
        <w:rPr>
          <w:rFonts w:ascii="Times New Roman;serif" w:hAnsi="Times New Roman;serif"/>
          <w:b w:val="false"/>
          <w:color w:val="000000"/>
          <w:sz w:val="20"/>
        </w:rPr>
        <w:t xml:space="preserve">treasury shares increased by $51.5 million due to the common shares issued to Maiden Reinsurance in respect of the Combination which is not treated as outstanding on the Condensed Consolidated Balance Sheet. </w:t>
      </w:r>
    </w:p>
    <w:p>
      <w:pPr>
        <w:pStyle w:val="TextBody"/>
        <w:bidi w:val="0"/>
        <w:spacing w:lineRule="auto" w:line="240" w:before="0" w:after="120"/>
        <w:ind w:left="0" w:right="0" w:firstLine="270"/>
        <w:jc w:val="both"/>
        <w:rPr/>
      </w:pPr>
      <w:r>
        <w:rPr>
          <w:rFonts w:ascii="Times New Roman;serif" w:hAnsi="Times New Roman;serif"/>
          <w:b w:val="false"/>
          <w:color w:val="000000"/>
          <w:sz w:val="20"/>
        </w:rPr>
        <w:t>Please refer to "</w:t>
      </w:r>
      <w:r>
        <w:rPr>
          <w:rFonts w:ascii="Times New Roman;serif" w:hAnsi="Times New Roman;serif"/>
          <w:b w:val="false"/>
          <w:i/>
          <w:color w:val="000000"/>
          <w:sz w:val="20"/>
        </w:rPr>
        <w:t>Notes to Consolidated Financial Statements Note 6. Shareholders' Equity</w:t>
      </w:r>
      <w:r>
        <w:rPr>
          <w:rFonts w:ascii="Times New Roman;serif" w:hAnsi="Times New Roman;serif"/>
          <w:b w:val="false"/>
          <w:color w:val="000000"/>
          <w:sz w:val="20"/>
        </w:rPr>
        <w:t>" included under Part I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 xml:space="preserve">of this Quarterly Report on Form 10-Q for a discussion of the equity instruments issued by the Company. Book value and diluted book value per common share at September 30, 2025 and December 31, 2024 were as follows: </w:t>
      </w:r>
    </w:p>
    <w:tbl>
      <w:tblPr>
        <w:tblW w:w="10205" w:type="dxa"/>
        <w:jc w:val="center"/>
        <w:tblInd w:w="0" w:type="dxa"/>
        <w:tblLayout w:type="fixed"/>
        <w:tblCellMar>
          <w:top w:w="28" w:type="dxa"/>
          <w:left w:w="28" w:type="dxa"/>
          <w:bottom w:w="28" w:type="dxa"/>
          <w:right w:w="28" w:type="dxa"/>
        </w:tblCellMar>
      </w:tblPr>
      <w:tblGrid>
        <w:gridCol w:w="2349"/>
        <w:gridCol w:w="2056"/>
        <w:gridCol w:w="2065"/>
        <w:gridCol w:w="109"/>
        <w:gridCol w:w="109"/>
        <w:gridCol w:w="109"/>
        <w:gridCol w:w="283"/>
        <w:gridCol w:w="1110"/>
        <w:gridCol w:w="146"/>
        <w:gridCol w:w="109"/>
        <w:gridCol w:w="109"/>
        <w:gridCol w:w="109"/>
        <w:gridCol w:w="332"/>
        <w:gridCol w:w="966"/>
        <w:gridCol w:w="244"/>
      </w:tblGrid>
      <w:tr>
        <w:trPr/>
        <w:tc>
          <w:tcPr>
            <w:tcW w:w="234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6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64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Ending common shareholders’ equity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143,774 </w:t>
            </w:r>
          </w:p>
        </w:tc>
        <w:tc>
          <w:tcPr>
            <w:tcW w:w="14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24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Proceeds from assumed conversion of dilutive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Numerator for diluted book value per common share calculation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143,774 </w:t>
            </w:r>
          </w:p>
        </w:tc>
        <w:tc>
          <w:tcPr>
            <w:tcW w:w="14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24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Common shares outstanding</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7,741,943 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2,749,996 </w:t>
            </w:r>
          </w:p>
        </w:tc>
        <w:tc>
          <w:tcPr>
            <w:tcW w:w="24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Shares issued from assumed conversion of dilutive options and restricted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136,197 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Denominator for diluted book value per common share calculation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7,878,140 </w:t>
            </w:r>
          </w:p>
        </w:tc>
        <w:tc>
          <w:tcPr>
            <w:tcW w:w="14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2,749,996 </w:t>
            </w:r>
          </w:p>
        </w:tc>
        <w:tc>
          <w:tcPr>
            <w:tcW w:w="244"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0"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Book value per common share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14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44"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Diluted book value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At September 30, 2025, Kestrel Group had outstanding publicly-traded senior notes which were issued in 2016 ("2016 Senior Notes") by its now wholly owned subsidiary Maiden and outstanding publicly-traded senior notes which were issued in 2013 ("2013 Senior Notes") by its now wholly owned subsidiary, Maiden NA, collectively referred to as the Company's outstanding senior notes ("Senior Notes"). The Senior Notes are unsecured and unsubordinated obligations of the Company.</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May 27, 2025 in connection with the Combination, (i) Maiden, as issuer, the Company, as guarantor, and Wilmington Trust, National Association, as trustee, entered into a second supplemental indenture (the “Second Supplemental Indenture”) to that certain indenture dated as of June 14, 2016, providing that the Company will fully and unconditionally guarantee Maiden’s 6.625% Senior Notes due 2046 and (ii) Maiden NA, as issuer, the Company, as guarantor, and Wilmington Trust Company, as trustee, entered into a fourth supplemental indenture (together with the Second Supplemental Indenture, the “Supplemental Indentures”) to that certain indenture dated as of June 24, 2011, providing that the Company will fully and unconditionally guarantee MHNA’s 7.75% Senior Notes due 2043. </w:t>
      </w:r>
    </w:p>
    <w:p>
      <w:pPr>
        <w:pStyle w:val="TextBody"/>
        <w:bidi w:val="0"/>
        <w:spacing w:lineRule="auto" w:line="240" w:before="0" w:after="120"/>
        <w:jc w:val="both"/>
        <w:rPr/>
      </w:pPr>
      <w:r>
        <w:rPr>
          <w:rFonts w:ascii="Times New Roman;serif" w:hAnsi="Times New Roman;serif"/>
          <w:b w:val="false"/>
          <w:color w:val="000000"/>
          <w:sz w:val="20"/>
        </w:rPr>
        <w:t>The Company did not enter into any short-term borrowing arrangements during the nine months ended September 30, 2025. Please refer to "</w:t>
      </w:r>
      <w:r>
        <w:rPr>
          <w:rFonts w:ascii="Times New Roman;serif" w:hAnsi="Times New Roman;serif"/>
          <w:b w:val="false"/>
          <w:i/>
          <w:color w:val="000000"/>
          <w:sz w:val="20"/>
        </w:rPr>
        <w:t>Notes to Condensed Consolidated Financial Statements (unaudited) Note 7. Long Term Debt</w:t>
      </w:r>
      <w:r>
        <w:rPr>
          <w:rFonts w:ascii="Times New Roman;serif" w:hAnsi="Times New Roman;serif"/>
          <w:b w:val="false"/>
          <w:color w:val="000000"/>
          <w:sz w:val="20"/>
        </w:rPr>
        <w:t>" included under Part I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of this Form 10-Q for a discussion of the Company’s Senior Notes. Please refer to "</w:t>
      </w:r>
      <w:r>
        <w:rPr>
          <w:rFonts w:ascii="Times New Roman;serif" w:hAnsi="Times New Roman;serif"/>
          <w:b w:val="false"/>
          <w:i/>
          <w:color w:val="000000"/>
          <w:sz w:val="20"/>
        </w:rPr>
        <w:t>Notes to Condensed Consolidated Financial Statements (unaudited) Note 11. Commitments, Contingencies and Guarantees</w:t>
      </w:r>
      <w:r>
        <w:rPr>
          <w:rFonts w:ascii="Times New Roman;serif" w:hAnsi="Times New Roman;serif"/>
          <w:b w:val="false"/>
          <w:color w:val="000000"/>
          <w:sz w:val="20"/>
        </w:rPr>
        <w:t>" included under Part I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 xml:space="preserve">of this Form 10-Q for recent litigation regarding the 2013 Senior Notes.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Maiden does not have any significant operations or assets other than ownership of the shares of our subsidiaries. The dividends and other permitted distributions from Maiden NA (and its subsidiaries) will be our sole source of funds to meet ongoing cash requirements, including debt service payments. Factors that may affect payments to holders of the 2013 Senior Notes include restrictions on the payments of dividends by Maiden Reinsurance to Maiden NA which provides the sole source of income for interest payments on the 2013 Senior Notes. </w:t>
      </w:r>
    </w:p>
    <w:p>
      <w:pPr>
        <w:pStyle w:val="TextBody"/>
        <w:bidi w:val="0"/>
        <w:spacing w:lineRule="auto" w:line="240" w:before="0" w:after="120"/>
        <w:ind w:left="0" w:right="0" w:firstLine="270"/>
        <w:jc w:val="both"/>
        <w:rPr/>
      </w:pPr>
      <w:r>
        <w:rPr>
          <w:rFonts w:ascii="Times New Roman;serif" w:hAnsi="Times New Roman;serif"/>
          <w:b w:val="false"/>
          <w:color w:val="000000"/>
          <w:sz w:val="20"/>
        </w:rPr>
        <w:t>In 2023 and 2024, the Vermont DFR approved an annual dividend program from Maiden Reinsurance to Maiden NA, with notification to the Vermont DFR as dividends are paid. In 2025, the Vermont DFR approved an annual dividend program from Maiden Reinsurance to Maiden NA, but required prior approval of quarterly dividends before payment. To date the Vermont DFR has approved all dividend requests under this program. Subsequent to those approvals, plus the approval for the $40.0 million extraordinary dividend to provide for consideration to the Kestrel shareholders pursuant to the terms of the Combination Agreement, Maiden Reinsurance has paid total dividends of</w:t>
      </w:r>
      <w:r>
        <w:rPr>
          <w:color w:val="000000"/>
          <w:shd w:fill="FFFFFF" w:val="clear"/>
        </w:rPr>
        <w:t xml:space="preserve"> </w:t>
      </w:r>
      <w:r>
        <w:rPr>
          <w:rFonts w:ascii="Times New Roman;serif" w:hAnsi="Times New Roman;serif"/>
          <w:b w:val="false"/>
          <w:color w:val="000000"/>
          <w:sz w:val="20"/>
          <w:shd w:fill="FFFFFF" w:val="clear"/>
        </w:rPr>
        <w:t>$130.0 million</w:t>
      </w:r>
      <w:r>
        <w:rPr>
          <w:color w:val="000000"/>
        </w:rPr>
        <w:t xml:space="preserve"> </w:t>
      </w:r>
      <w:r>
        <w:rPr>
          <w:rFonts w:ascii="Times New Roman;serif" w:hAnsi="Times New Roman;serif"/>
          <w:b w:val="false"/>
          <w:color w:val="000000"/>
          <w:sz w:val="20"/>
        </w:rPr>
        <w:t>to Maiden NA as of September 30, 2025.</w:t>
      </w:r>
    </w:p>
    <w:p>
      <w:pPr>
        <w:pStyle w:val="TextBody"/>
        <w:bidi w:val="0"/>
        <w:spacing w:before="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summarized financial information below has been presented on a combined basis for the issuer Maiden NA and the guarantor Maiden, excluding all other subsidiaries. Intercompany balances and transactions between Maiden NA and Maiden, whose information is presented above on a combined basis, were eliminated. Any investment by Maiden NA or Maiden in subsidiaries that are not issuers or guarantors is not presented in the financial information below.</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Intercompany balances with subsidiaries that are not issuers or guarantors and any related party transactions were separately disclosed below and are not included in the total assets and total liabilities presented for Maiden NA and Maiden. The net loss for Maiden Holdings was due to interest and amortization expenses on the Senior Notes as well as general and administrative expenses. The net income in Maiden NA reflects investment income earned for the respective periods.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Summarized financial information of Maiden NA and Maiden as of September 30, 2025 and for the three and nine months ended September 30, 2025 were as follows:</w:t>
      </w:r>
    </w:p>
    <w:tbl>
      <w:tblPr>
        <w:tblW w:w="8773" w:type="dxa"/>
        <w:jc w:val="center"/>
        <w:tblInd w:w="0" w:type="dxa"/>
        <w:tblLayout w:type="fixed"/>
        <w:tblCellMar>
          <w:top w:w="28" w:type="dxa"/>
          <w:left w:w="28" w:type="dxa"/>
          <w:bottom w:w="28" w:type="dxa"/>
          <w:right w:w="28" w:type="dxa"/>
        </w:tblCellMar>
      </w:tblPr>
      <w:tblGrid>
        <w:gridCol w:w="2030"/>
        <w:gridCol w:w="1781"/>
        <w:gridCol w:w="1798"/>
        <w:gridCol w:w="109"/>
        <w:gridCol w:w="109"/>
        <w:gridCol w:w="109"/>
        <w:gridCol w:w="211"/>
        <w:gridCol w:w="721"/>
        <w:gridCol w:w="109"/>
        <w:gridCol w:w="109"/>
        <w:gridCol w:w="109"/>
        <w:gridCol w:w="109"/>
        <w:gridCol w:w="316"/>
        <w:gridCol w:w="923"/>
        <w:gridCol w:w="230"/>
      </w:tblGrid>
      <w:tr>
        <w:trPr/>
        <w:tc>
          <w:tcPr>
            <w:tcW w:w="2030"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Maiden 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Maiden Holdings</w:t>
            </w:r>
          </w:p>
        </w:tc>
      </w:tr>
      <w:tr>
        <w:trPr/>
        <w:tc>
          <w:tcPr>
            <w:tcW w:w="5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r>
      <w:tr>
        <w:trPr/>
        <w:tc>
          <w:tcPr>
            <w:tcW w:w="560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18,088 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4,962 </w:t>
            </w:r>
          </w:p>
        </w:tc>
        <w:tc>
          <w:tcPr>
            <w:tcW w:w="23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from subsidiaries (not included in total assets above)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23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to subsidiaries (not included in total liabilities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loan payable (not included in total liabilities above)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326,560 </w:t>
            </w:r>
          </w:p>
        </w:tc>
        <w:tc>
          <w:tcPr>
            <w:tcW w:w="23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for the quarter-to-date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for the quarter-to-date period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9,696 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w:t>
            </w:r>
          </w:p>
        </w:tc>
        <w:tc>
          <w:tcPr>
            <w:tcW w:w="23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for year-to-date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for year-to-date period</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8,571 </w:t>
            </w:r>
          </w:p>
        </w:tc>
        <w:tc>
          <w:tcPr>
            <w:tcW w:w="10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(11,664)</w:t>
            </w:r>
          </w:p>
        </w:tc>
        <w:tc>
          <w:tcPr>
            <w:tcW w:w="230"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the related party loan payable for Maiden above, under the conditions stipulated in the Vermont DFR approval for the Combination, Maiden Reinsurance (as the lender) is no longer permitted to include the corresponding related party loan receivable from Maiden Holdings (and related accrued interest) as an admitted asset for statutory capital and reporting purposes. As a result, Maiden Reinsurance's ratio of risk-based capital to total adjusted capital was significantly reduced, which remains sufficient to not only support the dividends related to the Combination and recurring annual dividends (which require prior approval by the Vermont DFR) but our ability to selectively underwrite business in support of our Program Services segment in the future. </w:t>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The ratio of Debt to Total Capital Resources at September 30, 2025 and December 31, 2024 was computed as follows: </w:t>
      </w:r>
    </w:p>
    <w:tbl>
      <w:tblPr>
        <w:tblW w:w="7073" w:type="dxa"/>
        <w:jc w:val="center"/>
        <w:tblInd w:w="0" w:type="dxa"/>
        <w:tblLayout w:type="fixed"/>
        <w:tblCellMar>
          <w:top w:w="28" w:type="dxa"/>
          <w:left w:w="28" w:type="dxa"/>
          <w:bottom w:w="28" w:type="dxa"/>
          <w:right w:w="28" w:type="dxa"/>
        </w:tblCellMar>
      </w:tblPr>
      <w:tblGrid>
        <w:gridCol w:w="1207"/>
        <w:gridCol w:w="1060"/>
        <w:gridCol w:w="1062"/>
        <w:gridCol w:w="109"/>
        <w:gridCol w:w="109"/>
        <w:gridCol w:w="109"/>
        <w:gridCol w:w="249"/>
        <w:gridCol w:w="976"/>
        <w:gridCol w:w="320"/>
        <w:gridCol w:w="109"/>
        <w:gridCol w:w="109"/>
        <w:gridCol w:w="109"/>
        <w:gridCol w:w="285"/>
        <w:gridCol w:w="833"/>
        <w:gridCol w:w="427"/>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32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Senior notes - principal amount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262,361 </w:t>
            </w:r>
          </w:p>
        </w:tc>
        <w:tc>
          <w:tcPr>
            <w:tcW w:w="32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143,774 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Total capital resources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406,135 </w:t>
            </w:r>
          </w:p>
        </w:tc>
        <w:tc>
          <w:tcPr>
            <w:tcW w:w="320"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427"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Ratio of debt to total capital resources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3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40" w:before="0" w:after="120"/>
        <w:ind w:left="0" w:right="0" w:firstLine="270"/>
        <w:jc w:val="both"/>
        <w:rPr/>
      </w:pPr>
      <w:r>
        <w:rPr>
          <w:rFonts w:ascii="Times New Roman;serif" w:hAnsi="Times New Roman;serif"/>
          <w:b w:val="false"/>
          <w:color w:val="000000"/>
          <w:sz w:val="20"/>
        </w:rPr>
        <w:t>C</w:t>
      </w:r>
      <w:r>
        <w:rPr>
          <w:rFonts w:ascii="Times New Roman;serif" w:hAnsi="Times New Roman;serif"/>
          <w:b w:val="false"/>
          <w:color w:val="000000"/>
          <w:sz w:val="20"/>
          <w:shd w:fill="FFFFFF" w:val="clear"/>
        </w:rPr>
        <w:t>ertain of the Company's investments in limited partnerships are related to real estate joint ventures with interests in multi-property projects with varying strategies ranging from the development of properties to the ownership of income-producing properties. In certain of these joint ventures, the Company has provided certain indemnities, guarantees and commitments to ce</w:t>
      </w:r>
      <w:r>
        <w:rPr>
          <w:rFonts w:ascii="Times New Roman;serif" w:hAnsi="Times New Roman;serif"/>
          <w:b w:val="false"/>
          <w:color w:val="000000"/>
          <w:sz w:val="20"/>
        </w:rPr>
        <w:t>rtain parties</w:t>
      </w:r>
      <w:r>
        <w:rPr>
          <w:color w:val="000000"/>
          <w:shd w:fill="FFFFFF" w:val="clear"/>
        </w:rPr>
        <w:t xml:space="preserve"> </w:t>
      </w:r>
      <w:r>
        <w:rPr>
          <w:rFonts w:ascii="Times New Roman;serif" w:hAnsi="Times New Roman;serif"/>
          <w:b w:val="false"/>
          <w:color w:val="000000"/>
          <w:sz w:val="20"/>
          <w:shd w:fill="FFFFFF" w:val="clear"/>
        </w:rPr>
        <w:t xml:space="preserve">such that it may be required to make payments now or in the future </w:t>
      </w:r>
      <w:r>
        <w:rPr>
          <w:rFonts w:ascii="Times New Roman;serif" w:hAnsi="Times New Roman;serif"/>
          <w:b w:val="false"/>
          <w:color w:val="000000"/>
          <w:sz w:val="20"/>
        </w:rPr>
        <w:t>as further described in the "</w:t>
      </w:r>
      <w:r>
        <w:rPr>
          <w:rFonts w:ascii="Times New Roman;serif" w:hAnsi="Times New Roman;serif"/>
          <w:b w:val="false"/>
          <w:i/>
          <w:color w:val="000000"/>
          <w:sz w:val="20"/>
        </w:rPr>
        <w:t>Notes to Condensed Consolidated Financial Statements (unaudited) Note 11. Commitments, Contingencies and Guarantees</w:t>
      </w:r>
      <w:r>
        <w:rPr>
          <w:rFonts w:ascii="Times New Roman;serif" w:hAnsi="Times New Roman;serif"/>
          <w:b w:val="false"/>
          <w:color w:val="000000"/>
          <w:sz w:val="20"/>
        </w:rPr>
        <w:t>" included under Part I Item 1 "</w:t>
      </w:r>
      <w:r>
        <w:rPr>
          <w:rFonts w:ascii="Times New Roman;serif" w:hAnsi="Times New Roman;serif"/>
          <w:b w:val="false"/>
          <w:i/>
          <w:color w:val="000000"/>
          <w:sz w:val="20"/>
        </w:rPr>
        <w:t xml:space="preserve">Financial Information" </w:t>
      </w:r>
      <w:r>
        <w:rPr>
          <w:rFonts w:ascii="Times New Roman;serif" w:hAnsi="Times New Roman;serif"/>
          <w:b w:val="false"/>
          <w:color w:val="000000"/>
          <w:sz w:val="20"/>
        </w:rPr>
        <w:t>of this Form 10-Q.</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Any loss for which the Company could be liable would be contingent on the default of a loan by the real estate joint venture entity for which the Company provided a financial guarantee to a lender. While the Company has committed to aggregate limits as to the amount of guarantees it will provide as part of its limited partnerships, guarantees are only provided on an individual transaction basis and are subject to the terms and conditions of each transaction mutually agreed by the parties involved. The Company is not bound to such guarantees without its express authorization.</w:t>
      </w:r>
    </w:p>
    <w:p>
      <w:pPr>
        <w:pStyle w:val="TextBody"/>
        <w:bidi w:val="0"/>
        <w:spacing w:lineRule="auto" w:line="240" w:before="0" w:after="2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discussed above, at September 30, 2025, guarantees of $70.0 million have been provided to lenders by Maiden Reinsurance on behalf of the real estate joint venture, however, the likelihood of Maiden Reinsurance incurring any losses pertaining to project level financing guarantees was determined to be remote. Therefore, no liability has been accrued under ASC 450-20.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40" w:before="120" w:after="120"/>
        <w:jc w:val="both"/>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Please refer to our </w:t>
      </w:r>
      <w:r>
        <w:rPr>
          <w:rFonts w:ascii="Times New Roman;serif" w:hAnsi="Times New Roman;serif"/>
          <w:b w:val="false"/>
          <w:i/>
          <w:color w:val="000000"/>
          <w:sz w:val="20"/>
        </w:rPr>
        <w:t>Key Financial Measures</w:t>
      </w:r>
      <w:r>
        <w:rPr>
          <w:color w:val="000000"/>
        </w:rPr>
        <w:t xml:space="preserve"> </w:t>
      </w:r>
      <w:r>
        <w:rPr>
          <w:rFonts w:ascii="Times New Roman;serif" w:hAnsi="Times New Roman;serif"/>
          <w:b w:val="false"/>
          <w:color w:val="000000"/>
          <w:sz w:val="20"/>
        </w:rPr>
        <w:t xml:space="preserve">presented in the "Overview to Critical Accounting Policies" section for financial measures in accordance with GAAP in the Condensed Consolidated Balance Sheets and Condensed Consolidated Statements of Income and Comprehensive Income. In addition, management uses certain non-GAAP financial measures to evaluate the Company's financial performance and the overall growth in value generated for the Company’s common shareholders. Management believes that these measures, which may be defined differently by other companies, explain the Company’s results to investors in a manner that allows for a more complete understanding of the underlying trends in the Company’s business. These non-GAAP financial measures should not be viewed as a substitute for those determined in accordance with U.S. GAAP and are summarized in </w:t>
      </w:r>
      <w:r>
        <w:rPr>
          <w:rFonts w:ascii="Times New Roman;serif" w:hAnsi="Times New Roman;serif"/>
          <w:b w:val="false"/>
          <w:i/>
          <w:color w:val="000000"/>
          <w:sz w:val="20"/>
        </w:rPr>
        <w:t>Key Financial Measures</w:t>
      </w:r>
      <w:r>
        <w:rPr>
          <w:color w:val="000000"/>
        </w:rPr>
        <w:t xml:space="preserve"> </w:t>
      </w:r>
      <w:r>
        <w:rPr>
          <w:rFonts w:ascii="Times New Roman;serif" w:hAnsi="Times New Roman;serif"/>
          <w:b w:val="false"/>
          <w:color w:val="000000"/>
          <w:sz w:val="20"/>
        </w:rPr>
        <w:t>presented in the "Overview to Critical Accounting Policies" section.</w:t>
      </w:r>
    </w:p>
    <w:p>
      <w:pPr>
        <w:pStyle w:val="TextBody"/>
        <w:bidi w:val="0"/>
        <w:spacing w:lineRule="auto" w:line="240" w:before="0" w:after="120"/>
        <w:ind w:left="0" w:right="0" w:firstLine="270"/>
        <w:jc w:val="both"/>
        <w:rPr/>
      </w:pPr>
      <w:r>
        <w:rPr>
          <w:rFonts w:ascii="Times New Roman;serif" w:hAnsi="Times New Roman;serif"/>
          <w:b w:val="false"/>
          <w:color w:val="000000"/>
          <w:sz w:val="20"/>
        </w:rPr>
        <w:t>Non-GAAP</w:t>
      </w:r>
      <w:r>
        <w:rPr>
          <w:color w:val="000000"/>
        </w:rPr>
        <w:t xml:space="preserve"> </w:t>
      </w:r>
      <w:r>
        <w:rPr>
          <w:rFonts w:ascii="Times New Roman;serif" w:hAnsi="Times New Roman;serif"/>
          <w:b w:val="false"/>
          <w:color w:val="000000"/>
          <w:sz w:val="20"/>
        </w:rPr>
        <w:t>operating loss was $15.1 million for the three months ended September 30, 2025 compared to non-GAAP operating loss of $0.4 million for the same period in 2024. Non-GAAP</w:t>
      </w:r>
      <w:r>
        <w:rPr>
          <w:color w:val="000000"/>
        </w:rPr>
        <w:t xml:space="preserve"> </w:t>
      </w:r>
      <w:r>
        <w:rPr>
          <w:rFonts w:ascii="Times New Roman;serif" w:hAnsi="Times New Roman;serif"/>
          <w:b w:val="false"/>
          <w:color w:val="000000"/>
          <w:sz w:val="20"/>
        </w:rPr>
        <w:t xml:space="preserve">operating loss was $12.0 million for the nine months ended September 30, 2025, compared to non-GAAP operating loss of $1.4 million for the nine months ended September 30, 2024. </w:t>
      </w:r>
    </w:p>
    <w:p>
      <w:pPr>
        <w:pStyle w:val="TextBody"/>
        <w:bidi w:val="0"/>
        <w:spacing w:lineRule="auto" w:line="240" w:before="120" w:after="120"/>
        <w:ind w:left="0" w:right="0" w:firstLine="270"/>
        <w:jc w:val="both"/>
        <w:rPr/>
      </w:pPr>
      <w:r>
        <w:rPr>
          <w:rFonts w:ascii="Times New Roman;serif" w:hAnsi="Times New Roman;serif"/>
          <w:b w:val="false"/>
          <w:i/>
          <w:color w:val="000000"/>
          <w:sz w:val="20"/>
        </w:rPr>
        <w:t>Non-GAAP Operating Return on Average Common Equity</w:t>
      </w:r>
      <w:r>
        <w:rPr>
          <w:color w:val="000000"/>
        </w:rPr>
        <w:t xml:space="preserve"> </w:t>
      </w:r>
      <w:r>
        <w:rPr>
          <w:rFonts w:ascii="Times New Roman;serif" w:hAnsi="Times New Roman;serif"/>
          <w:b w:val="false"/>
          <w:color w:val="000000"/>
          <w:sz w:val="20"/>
        </w:rPr>
        <w:t xml:space="preserve">("Non-GAAP Operating ROACE"): Management uses non-GAAP operating return on average common shareholders' equity as a measure of profitability that focuses on the return to common shareholders. It is calculated using non-GAAP operating income or loss available to common shareholders (as defined above) divided by average common shareholders' equity. </w:t>
      </w:r>
    </w:p>
    <w:p>
      <w:pPr>
        <w:pStyle w:val="TextBody"/>
        <w:bidi w:val="0"/>
        <w:spacing w:lineRule="auto" w:line="240" w:before="6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Non-GAAP Operating ROACE for the three and nine months ended September 30, 2025 and 2024 was as follows:</w:t>
      </w:r>
    </w:p>
    <w:tbl>
      <w:tblPr>
        <w:tblW w:w="10205" w:type="dxa"/>
        <w:jc w:val="left"/>
        <w:tblInd w:w="0" w:type="dxa"/>
        <w:tblLayout w:type="fixed"/>
        <w:tblCellMar>
          <w:top w:w="28" w:type="dxa"/>
          <w:left w:w="28" w:type="dxa"/>
          <w:bottom w:w="28" w:type="dxa"/>
          <w:right w:w="28" w:type="dxa"/>
        </w:tblCellMar>
      </w:tblPr>
      <w:tblGrid>
        <w:gridCol w:w="1151"/>
        <w:gridCol w:w="991"/>
        <w:gridCol w:w="993"/>
        <w:gridCol w:w="109"/>
        <w:gridCol w:w="109"/>
        <w:gridCol w:w="109"/>
        <w:gridCol w:w="259"/>
        <w:gridCol w:w="975"/>
        <w:gridCol w:w="333"/>
        <w:gridCol w:w="133"/>
        <w:gridCol w:w="133"/>
        <w:gridCol w:w="133"/>
        <w:gridCol w:w="259"/>
        <w:gridCol w:w="661"/>
        <w:gridCol w:w="333"/>
        <w:gridCol w:w="109"/>
        <w:gridCol w:w="109"/>
        <w:gridCol w:w="109"/>
        <w:gridCol w:w="239"/>
        <w:gridCol w:w="899"/>
        <w:gridCol w:w="306"/>
        <w:gridCol w:w="123"/>
        <w:gridCol w:w="123"/>
        <w:gridCol w:w="123"/>
        <w:gridCol w:w="239"/>
        <w:gridCol w:w="779"/>
        <w:gridCol w:w="366"/>
      </w:tblGrid>
      <w:tr>
        <w:trPr/>
        <w:tc>
          <w:tcPr>
            <w:tcW w:w="115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3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Non-GAAP operating loss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(15,091)</w:t>
            </w:r>
          </w:p>
        </w:tc>
        <w:tc>
          <w:tcPr>
            <w:tcW w:w="33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333"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(12,023)</w:t>
            </w:r>
          </w:p>
        </w:tc>
        <w:tc>
          <w:tcPr>
            <w:tcW w:w="30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366"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Opening adjusted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150,086 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13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adjusted shareholders’ equity</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143,774 </w:t>
            </w:r>
          </w:p>
        </w:tc>
        <w:tc>
          <w:tcPr>
            <w:tcW w:w="33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4,484 </w:t>
            </w:r>
          </w:p>
        </w:tc>
        <w:tc>
          <w:tcPr>
            <w:tcW w:w="333"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143,774 </w:t>
            </w:r>
          </w:p>
        </w:tc>
        <w:tc>
          <w:tcPr>
            <w:tcW w:w="306"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4,484 </w:t>
            </w:r>
          </w:p>
        </w:tc>
        <w:tc>
          <w:tcPr>
            <w:tcW w:w="366" w:type="dxa"/>
            <w:tcBorders/>
            <w:shd w:fill="CCFFCC"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adjusted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146,930 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74,190 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Non-GAAP Operating ROACE</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333"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333"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30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36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calculation, reconciliation to nearest GAAP measure and discussion of relevant non-GAAP measures used by management are as follows: </w:t>
      </w:r>
    </w:p>
    <w:tbl>
      <w:tblPr>
        <w:tblW w:w="10181" w:type="dxa"/>
        <w:jc w:val="left"/>
        <w:tblInd w:w="0" w:type="dxa"/>
        <w:tblLayout w:type="fixed"/>
        <w:tblCellMar>
          <w:top w:w="28" w:type="dxa"/>
          <w:left w:w="28" w:type="dxa"/>
          <w:bottom w:w="28" w:type="dxa"/>
          <w:right w:w="28" w:type="dxa"/>
        </w:tblCellMar>
      </w:tblPr>
      <w:tblGrid>
        <w:gridCol w:w="2408"/>
        <w:gridCol w:w="2114"/>
        <w:gridCol w:w="2123"/>
        <w:gridCol w:w="109"/>
        <w:gridCol w:w="109"/>
        <w:gridCol w:w="109"/>
        <w:gridCol w:w="234"/>
        <w:gridCol w:w="886"/>
        <w:gridCol w:w="121"/>
        <w:gridCol w:w="121"/>
        <w:gridCol w:w="121"/>
        <w:gridCol w:w="121"/>
        <w:gridCol w:w="234"/>
        <w:gridCol w:w="769"/>
        <w:gridCol w:w="121"/>
        <w:gridCol w:w="109"/>
        <w:gridCol w:w="109"/>
        <w:gridCol w:w="109"/>
        <w:gridCol w:w="154"/>
      </w:tblGrid>
      <w:tr>
        <w:trPr/>
        <w:tc>
          <w:tcPr>
            <w:tcW w:w="2408"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Kestrel common shareholders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i/>
                <w:color w:val="000000"/>
                <w:sz w:val="20"/>
              </w:rPr>
            </w:pPr>
            <w:r>
              <w:rPr>
                <w:rFonts w:ascii="Times New Roman;serif" w:hAnsi="Times New Roman;serif"/>
                <w:b w:val="false"/>
                <w:i/>
                <w:color w:val="000000"/>
                <w:sz w:val="20"/>
              </w:rPr>
              <w:t>Add (subtract):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 loss of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Net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664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 out consideration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Non-GAAP 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Diluted (loss) per share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i/>
                <w:color w:val="000000"/>
                <w:sz w:val="20"/>
              </w:rPr>
            </w:pPr>
            <w:r>
              <w:rPr>
                <w:rFonts w:ascii="Times New Roman;serif" w:hAnsi="Times New Roman;serif"/>
                <w:b w:val="false"/>
                <w:i/>
                <w:color w:val="000000"/>
                <w:sz w:val="20"/>
              </w:rPr>
              <w:t>Add (subtract):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and other gains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 loss of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income tax</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 out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Non-GAAP</w:t>
            </w:r>
            <w:r>
              <w:rPr>
                <w:color w:val="000000"/>
              </w:rPr>
              <w:t xml:space="preserve"> </w:t>
            </w:r>
            <w:r>
              <w:rPr>
                <w:rFonts w:ascii="Times New Roman;serif" w:hAnsi="Times New Roman;serif"/>
                <w:b w:val="false"/>
                <w:color w:val="000000"/>
                <w:sz w:val="20"/>
              </w:rPr>
              <w:t>diluted operating loss per share attributable to common shareholders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2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FFC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21" w:type="dxa"/>
            <w:tcBorders>
              <w:top w:val="single" w:sz="8" w:space="0" w:color="000000"/>
            </w:tcBorders>
            <w:shd w:fill="CCFFC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 except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664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Kestrel common shareholders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64,480 </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i/>
                <w:color w:val="000000"/>
                <w:sz w:val="20"/>
              </w:rPr>
            </w:pPr>
            <w:r>
              <w:rPr>
                <w:rFonts w:ascii="Times New Roman;serif" w:hAnsi="Times New Roman;serif"/>
                <w:b w:val="false"/>
                <w:i/>
                <w:color w:val="000000"/>
                <w:sz w:val="20"/>
              </w:rPr>
              <w:t>Add (subtract):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(6,552)</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val="false"/>
                <w:color w:val="000000"/>
                <w:sz w:val="20"/>
              </w:rPr>
            </w:pPr>
            <w:r>
              <w:rPr>
                <w:rFonts w:ascii="Times New Roman;serif" w:hAnsi="Times New Roman;serif"/>
                <w:b w:val="false"/>
                <w:color w:val="000000"/>
                <w:sz w:val="20"/>
              </w:rPr>
              <w:t>Foreign exchange and other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 loss of equity method investments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Bargain purchase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CCFFCC"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Net loss from discontinued operations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erif" w:hAnsi="Times New Roman;serif"/>
                <w:b/>
                <w:color w:val="000000"/>
                <w:sz w:val="20"/>
              </w:rPr>
            </w:pPr>
            <w:r>
              <w:rPr>
                <w:rFonts w:ascii="Times New Roman;serif" w:hAnsi="Times New Roman;serif"/>
                <w:b/>
                <w:color w:val="000000"/>
                <w:sz w:val="20"/>
              </w:rPr>
              <w:t>Non-GAAP 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Add (subtract):</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664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and other losses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 loss of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5"/>
              <w:jc w:val="left"/>
              <w:rPr>
                <w:sz w:val="4"/>
                <w:szCs w:val="4"/>
              </w:rPr>
            </w:pPr>
            <w:r>
              <w:rPr>
                <w:sz w:val="4"/>
                <w:szCs w:val="4"/>
              </w:rPr>
            </w:r>
          </w:p>
        </w:tc>
      </w:tr>
      <w:tr>
        <w:trPr/>
        <w:tc>
          <w:tcPr>
            <w:tcW w:w="6645"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Bargain purchase gain</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Net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CCFFCC"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Non-GAAP</w:t>
            </w:r>
            <w:r>
              <w:rPr>
                <w:color w:val="000000"/>
              </w:rPr>
              <w:t xml:space="preserve"> </w:t>
            </w:r>
            <w:r>
              <w:rPr>
                <w:rFonts w:ascii="Times New Roman;serif" w:hAnsi="Times New Roman;serif"/>
                <w:b w:val="false"/>
                <w:color w:val="000000"/>
                <w:sz w:val="20"/>
              </w:rPr>
              <w:t>diluted operating loss per share attributable to common shareholders</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w:t>
            </w:r>
          </w:p>
        </w:tc>
        <w:tc>
          <w:tcPr>
            <w:tcW w:w="121" w:type="dxa"/>
            <w:tcBorders>
              <w:top w:val="single" w:sz="8" w:space="0" w:color="000000"/>
              <w:bottom w:val="double" w:sz="8" w:space="0" w:color="000000"/>
            </w:tcBorders>
            <w:shd w:fill="CCFFC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before="40" w:after="80"/>
        <w:jc w:val="left"/>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40" w:before="200" w:after="120"/>
        <w:jc w:val="left"/>
        <w:rPr>
          <w:rFonts w:ascii="Times New Roman;serif" w:hAnsi="Times New Roman;serif"/>
          <w:b/>
          <w:color w:val="000000"/>
          <w:sz w:val="20"/>
        </w:rPr>
      </w:pPr>
      <w:r>
        <w:rPr>
          <w:rFonts w:ascii="Times New Roman;serif" w:hAnsi="Times New Roman;serif"/>
          <w:b/>
          <w:color w:val="000000"/>
          <w:sz w:val="20"/>
        </w:rPr>
        <w:t xml:space="preserve">Currency and Foreign Exchange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We conduct business in a variety of foreign (non-U.S.) currencies, exclusively in our Legacy Reinsurance segment, the principal exposures being the euro and the British pound. Assets and liabilities denominated in foreign currencies are exposed to changes in currency exchange rates. Our reporting currency is the U.S. dollar, and exchange rate fluctuations relative to the U.S. dollar may materially impact our results and financial position. Our principal exposure to foreign currency risk is our obligation to settle claims in foreign currencies. In addition, in order to minimize this risk, we maintain and expect to continue to maintain a portion of our investment portfolio in investments denominated in currencies other than the U.S. dollar. We may employ various strategies (including hedging) to manage our exposure to foreign currency exchange risk. To the extent that these exposures are not fully hedged or the hedges are ineffective, our results of operations or equity may be adversely affected.</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At September 30, 2025, no such hedges or hedging strategies were in force or had been entered into. We measure monetary assets and liabilities denominated in foreign currencies at period end exchange rates, with the resulting foreign exchange gains and losses recognized in the unaudited Condensed Consolidated Statements of Income. Revenues and expenses in foreign currencies are converted at average exchange rates during the period. The effect of the translation adjustments for foreign operations is included in AOCI.</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Net foreign exchange gains of $2.9 million and foreign exchange losses of $2.2 million were generated during the three and nine months ended September 30, 2025, respectively, compared to net foreign exchange losses of $0.0 million for the three and nine months ended September 30, 2024. For the three months ended September 30, 2025, net foreign exchange gains of $2.9 million were attributable to appreciation of the U.S. dollar on the re-measurement of net loss reserves and insurance related liabilities denominated in the British pound and euro.</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The foreign exchange losses for the nine months ended September 30, 2025 were caused by significant depreciation in the value of the U.S. dollar relative to the euro and the British pound due to uncertainty around international trade and associated U.S. tariff policy. These losses were primarily unrealized and resulted from the effects of revaluation of our net insurance liabilities that are required to be settled in foreign currencies at each balance sheet date.</w:t>
      </w:r>
    </w:p>
    <w:p>
      <w:pPr>
        <w:pStyle w:val="TextBody"/>
        <w:bidi w:val="0"/>
        <w:spacing w:lineRule="auto" w:line="240" w:before="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At September 30, 2025, the decrease in foreign currency translation adjustments of $1.6 million for the nine months ended September 30, 2025 was primarily driven by exposures to euro, British pound and other non-USD denominated net loss reserves and insurance related liabilities in excess of foreign currency assets. Our non-USD denominated liabilities at September 30, 2025 included reserve for net loss and LAE on our Legacy Reinsurance segment of $310.8 million. Our foreign currency asset exposures at September 30, 2025 include $137.8 million of fixed maturity securities managed by our investment managers who have the discretion to hold foreign currency exposures as part of their total return strategy, $32.5 million of real estate investments denominated in Canadian dollars, as well as $11.9 million of funds withheld receivable.</w: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Effects of Inflation</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anticipated effects of inflation are considered explicitly in the pricing of the insured exposures, which are used as the initial estimates of reserves for loss and LAE. In addition, inflation is also implicitly accounted for in subsequent estimates of loss and LAE reserves, as the expected rate of emergence is in part predicated upon the historical levels of inflation that impact ultimate claim costs. To the extent inflation causes these costs, particularly medical treatments and litigation costs, to vary from the assumptions made in the pricing or reserving estimates, the Company will be required to change the reserve for loss and LAE with a corresponding change in its earnings in the period in which the variance is identified. The actual effects of inflation on the results of operations of the Company cannot be accurately known until claims are ultimately settled.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continue to monitor inflationary impacts resulting from recent government stimulus, sharp increases in demand, labor force and supply chain disruptions, among other factors, on our loss cost trends. Our reserves predominantly consist of workers’ compensation, general liability, and hospital liability business. These long tailed lines of business have been subject to the longer term trend of social inflation, but we have not observed significant impacts for the recently elevated levels of inflation. We proactively analyze available data and we incorporate trends into our loss reserving assumptions to ensure we are considerate of current and future economic conditions.</w:t>
      </w:r>
    </w:p>
    <w:p>
      <w:pPr>
        <w:pStyle w:val="TextBody"/>
        <w:bidi w:val="0"/>
        <w:spacing w:lineRule="auto" w:line="240" w:before="0" w:after="120"/>
        <w:ind w:left="0" w:right="0" w:firstLine="270"/>
        <w:jc w:val="both"/>
        <w:rPr/>
      </w:pPr>
      <w:r>
        <w:rPr>
          <w:rFonts w:ascii="Times New Roman;serif" w:hAnsi="Times New Roman;serif"/>
          <w:b w:val="false"/>
          <w:color w:val="000000"/>
          <w:sz w:val="20"/>
        </w:rPr>
        <w:t xml:space="preserve">Governmental policy responses to inflation have significantly increased interest rates which, in the short term, have contributed to unrealized gains on our fixed income investments, particularly on our fixed maturity securities. While general economic inflation has eased in recent quarters, there remains uncertainty around the rate and direction of inflation and interest rates and we continue to monitor our liquidity, capital and potential earnings impact of these changes but remain focused on our asset allocation decisions as described in our </w:t>
      </w:r>
      <w:r>
        <w:rPr>
          <w:rFonts w:ascii="Times New Roman;serif" w:hAnsi="Times New Roman;serif"/>
          <w:b w:val="false"/>
          <w:i/>
          <w:color w:val="000000"/>
          <w:sz w:val="20"/>
        </w:rPr>
        <w:t>"Business Strategy"</w:t>
      </w:r>
      <w:r>
        <w:rPr>
          <w:color w:val="000000"/>
        </w:rPr>
        <w:t xml:space="preserve"> </w:t>
      </w:r>
      <w:r>
        <w:rPr>
          <w:rFonts w:ascii="Times New Roman;serif" w:hAnsi="Times New Roman;serif"/>
          <w:b w:val="false"/>
          <w:color w:val="000000"/>
          <w:sz w:val="20"/>
        </w:rPr>
        <w:t>section of Item 2. "</w:t>
      </w:r>
      <w:r>
        <w:rPr>
          <w:rFonts w:ascii="Times New Roman;serif" w:hAnsi="Times New Roman;serif"/>
          <w:b w:val="false"/>
          <w:i/>
          <w:color w:val="000000"/>
          <w:sz w:val="20"/>
        </w:rPr>
        <w:t>Management’s Discussion and Analysis of Financial Condition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Results of Operations - Overview</w:t>
      </w:r>
      <w:r>
        <w:rPr>
          <w:rFonts w:ascii="Times New Roman;serif" w:hAnsi="Times New Roman;serif"/>
          <w:b w:val="false"/>
          <w:color w:val="000000"/>
          <w:sz w:val="20"/>
        </w:rPr>
        <w:t xml:space="preserve">". </w:t>
      </w:r>
    </w:p>
    <w:p>
      <w:pPr>
        <w:pStyle w:val="TextBody"/>
        <w:bidi w:val="0"/>
        <w:spacing w:lineRule="auto" w:line="240" w:before="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Inflation may also result in increased wage pressures for our operating expenses, as we remain focused on being a competitive employer in our market. Currently, while salaries and incentive compensation costs comprise less than one-half of our total general and administrative expenses, continuing inflation and tight labor conditions could have a material impact on our net operating results.</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40" w:before="0" w:after="18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2025, we did not have any off-balance sheet arrangements as defined by Item 303(a) (4) of Regulation S-K. </w:t>
      </w:r>
    </w:p>
    <w:p>
      <w:pPr>
        <w:pStyle w:val="TextBody"/>
        <w:bidi w:val="0"/>
        <w:spacing w:lineRule="auto" w:line="240" w:before="0" w:after="12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40" w:before="0" w:after="120"/>
        <w:ind w:left="0" w:right="0" w:firstLine="180"/>
        <w:jc w:val="both"/>
        <w:rPr/>
      </w:pPr>
      <w:r>
        <w:rPr>
          <w:rFonts w:ascii="Times New Roman;serif" w:hAnsi="Times New Roman;serif"/>
          <w:b w:val="false"/>
          <w:color w:val="000000"/>
          <w:sz w:val="20"/>
        </w:rPr>
        <w:t>See "</w:t>
      </w:r>
      <w:r>
        <w:rPr>
          <w:rFonts w:ascii="Times New Roman;serif" w:hAnsi="Times New Roman;serif"/>
          <w:b w:val="false"/>
          <w:i/>
          <w:color w:val="000000"/>
          <w:sz w:val="20"/>
        </w:rPr>
        <w:t>Part I, Item 1 - Notes to Condensed Consolidated Financial Statements (unaudited) Note 2. Significant Accounting Policies</w:t>
      </w:r>
      <w:r>
        <w:rPr>
          <w:rFonts w:ascii="Times New Roman;serif" w:hAnsi="Times New Roman;serif"/>
          <w:b w:val="false"/>
          <w:color w:val="000000"/>
          <w:sz w:val="20"/>
        </w:rPr>
        <w:t>" for a discussion on recently adopted accounting pronouncements.</w:t>
      </w:r>
    </w:p>
    <w:p>
      <w:pPr>
        <w:pStyle w:val="TextBody"/>
        <w:bidi w:val="0"/>
        <w:spacing w:before="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40" w:before="120" w:after="12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28" w:before="0" w:after="120"/>
        <w:ind w:left="0" w:right="0" w:firstLine="270"/>
        <w:jc w:val="both"/>
        <w:rPr>
          <w:color w:val="000000"/>
        </w:rPr>
      </w:pPr>
      <w:r>
        <w:rPr>
          <w:color w:val="000000"/>
        </w:rPr>
        <w:t> </w:t>
      </w:r>
      <w:r>
        <w:rPr>
          <w:rFonts w:ascii="Times New Roman;serif" w:hAnsi="Times New Roman;serif"/>
          <w:b w:val="false"/>
          <w:color w:val="000000"/>
          <w:sz w:val="20"/>
        </w:rPr>
        <w:t xml:space="preserve">Our management, with the participation of our Principal Executive Officer and Principal Financial Officer, have evaluated the Company's disclosure controls and procedures (as defined in Rules 13a-15(e) and 15d-15(e) of the Securities Exchange Act of 1934, as amended (the “Exchange Act”)). Disclosure controls and procedures are designed to ensure that information required to be disclosed in reports filed or submitted under the Exchange Act is recorded, processed, summarized and reported within the time periods specified by SEC rules and forms and that such information is accumulated and communicated to management, including our Principal Executive Officer and Principal Financial Officer, to allow for timely decisions regarding required disclosures.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Based on that evaluation, the Principal Executive Officer and Principal Financial Officer have concluded that, because a material weakness in our internal control over financial reporting existed at December 31, 2024 and had not been remediated by the end of the period covered by this Quarterly Report on Form 10-Q, the Company’s disclosure controls and procedures were not effective as of the end of the period covered by this Quarterly Report on Form 10-Q. This material weakness in our internal control over financial reporting and our remediation efforts are described below.</w:t>
      </w:r>
    </w:p>
    <w:p>
      <w:pPr>
        <w:pStyle w:val="TextBody"/>
        <w:bidi w:val="0"/>
        <w:spacing w:lineRule="auto" w:line="240" w:before="0" w:after="120"/>
        <w:jc w:val="both"/>
        <w:rPr>
          <w:rFonts w:ascii="Times New Roman;serif" w:hAnsi="Times New Roman;serif"/>
          <w:b/>
          <w:color w:val="000000"/>
          <w:sz w:val="20"/>
          <w:u w:val="single"/>
        </w:rPr>
      </w:pPr>
      <w:r>
        <w:rPr>
          <w:rFonts w:ascii="Times New Roman;serif" w:hAnsi="Times New Roman;serif"/>
          <w:b/>
          <w:color w:val="000000"/>
          <w:sz w:val="20"/>
          <w:u w:val="single"/>
        </w:rPr>
        <w:t>Material Weakness in Internal Control over Financial Reporting</w:t>
      </w:r>
    </w:p>
    <w:p>
      <w:pPr>
        <w:pStyle w:val="TextBody"/>
        <w:bidi w:val="0"/>
        <w:spacing w:lineRule="auto" w:line="240" w:before="0" w:after="120"/>
        <w:ind w:left="0" w:right="0" w:firstLine="270"/>
        <w:jc w:val="both"/>
        <w:rPr/>
      </w:pPr>
      <w:r>
        <w:rPr>
          <w:rFonts w:ascii="Times New Roman;serif" w:hAnsi="Times New Roman;serif"/>
          <w:b w:val="false"/>
          <w:color w:val="000000"/>
          <w:sz w:val="20"/>
        </w:rPr>
        <w:t>Our management, including our Principal Executive Officer and Principal Financial Officer, identified a material weakness related to our internal control over financial reporting for the financial statements of the Kestrel Group LLC and its subsidiaries. This material weakness existed prior to the consummation of the acquisition.</w:t>
      </w:r>
      <w:r>
        <w:rPr>
          <w:color w:val="000000"/>
        </w:rPr>
        <w:t xml:space="preserve"> </w:t>
      </w:r>
      <w:r>
        <w:rPr>
          <w:rFonts w:ascii="Times New Roman;serif" w:hAnsi="Times New Roman;serif"/>
          <w:b w:val="false"/>
          <w:color w:val="000000"/>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r>
        <w:rPr>
          <w:color w:val="000000"/>
        </w:rPr>
        <w:t xml:space="preserve"> </w:t>
      </w:r>
      <w:r>
        <w:rPr>
          <w:rFonts w:ascii="Times New Roman;serif" w:hAnsi="Times New Roman;serif"/>
          <w:b w:val="false"/>
          <w:color w:val="000000"/>
          <w:sz w:val="20"/>
        </w:rPr>
        <w:t>These included:</w:t>
      </w:r>
    </w:p>
    <w:p>
      <w:pPr>
        <w:pStyle w:val="TextBody"/>
        <w:bidi w:val="0"/>
        <w:spacing w:lineRule="auto" w:line="240" w:before="0" w:after="120"/>
        <w:ind w:left="0" w:right="0" w:hanging="90"/>
        <w:jc w:val="both"/>
        <w:rPr/>
      </w:pPr>
      <w:r>
        <w:rPr>
          <w:color w:val="000000"/>
        </w:rPr>
        <w:t>•</w:t>
      </w:r>
      <w:r>
        <w:rPr>
          <w:rFonts w:ascii="Times New Roman;serif" w:hAnsi="Times New Roman;serif"/>
          <w:b w:val="false"/>
          <w:color w:val="000000"/>
          <w:sz w:val="20"/>
        </w:rPr>
        <w:t>Control activities over financial reporting were not sufficiently or appropriately designed or implemented; additionally there is a lack of documentation, review and approval of control activities over key balances recorded to the financial statements of Kestrel Group LLC and its subsidiaries, Kestrel Insurance Agency, LLC and Kestrel Service Corporation;</w:t>
      </w:r>
    </w:p>
    <w:p>
      <w:pPr>
        <w:pStyle w:val="TextBody"/>
        <w:bidi w:val="0"/>
        <w:spacing w:lineRule="auto" w:line="240" w:before="0" w:after="120"/>
        <w:ind w:left="0" w:right="0" w:hanging="90"/>
        <w:jc w:val="both"/>
        <w:rPr/>
      </w:pPr>
      <w:r>
        <w:rPr>
          <w:color w:val="000000"/>
        </w:rPr>
        <w:t>•</w:t>
      </w:r>
      <w:r>
        <w:rPr>
          <w:rFonts w:ascii="Times New Roman;serif" w:hAnsi="Times New Roman;serif"/>
          <w:b w:val="false"/>
          <w:color w:val="000000"/>
          <w:sz w:val="20"/>
        </w:rPr>
        <w:t>Ineffective control activities and monitoring controls due to a lack of segregation of duties and insufficient analysis of certain accounts recorded at Kestrel Group LLC;</w:t>
      </w:r>
    </w:p>
    <w:p>
      <w:pPr>
        <w:pStyle w:val="TextBody"/>
        <w:bidi w:val="0"/>
        <w:spacing w:lineRule="auto" w:line="240" w:before="0" w:after="120"/>
        <w:ind w:left="0" w:right="0" w:hanging="90"/>
        <w:jc w:val="both"/>
        <w:rPr/>
      </w:pPr>
      <w:r>
        <w:rPr>
          <w:color w:val="000000"/>
        </w:rPr>
        <w:t>•</w:t>
      </w:r>
      <w:r>
        <w:rPr>
          <w:rFonts w:ascii="Times New Roman;serif" w:hAnsi="Times New Roman;serif"/>
          <w:b w:val="false"/>
          <w:color w:val="000000"/>
          <w:sz w:val="20"/>
        </w:rPr>
        <w:t>Ineffective control environment due to an insufficient number of accounting personnel with an appropriate level of knowledge and expertise related to our technical accounting matters over financial reporting over revenue recognition;</w:t>
      </w:r>
    </w:p>
    <w:p>
      <w:pPr>
        <w:pStyle w:val="TextBody"/>
        <w:bidi w:val="0"/>
        <w:spacing w:lineRule="auto" w:line="240" w:before="0" w:after="120"/>
        <w:ind w:left="0" w:right="0" w:hanging="90"/>
        <w:jc w:val="both"/>
        <w:rPr/>
      </w:pPr>
      <w:r>
        <w:rPr>
          <w:color w:val="000000"/>
        </w:rPr>
        <w:t>•</w:t>
      </w:r>
      <w:r>
        <w:rPr>
          <w:rFonts w:ascii="Times New Roman;serif" w:hAnsi="Times New Roman;serif"/>
          <w:b w:val="false"/>
          <w:color w:val="000000"/>
          <w:sz w:val="20"/>
        </w:rPr>
        <w:t>Controls over the data used, as well as the completeness and accuracy of reports used in the revenue recognition process were ineffective;</w:t>
      </w:r>
    </w:p>
    <w:p>
      <w:pPr>
        <w:pStyle w:val="TextBody"/>
        <w:bidi w:val="0"/>
        <w:spacing w:lineRule="auto" w:line="228" w:before="0" w:after="120"/>
        <w:ind w:left="0" w:right="0" w:hanging="90"/>
        <w:jc w:val="both"/>
        <w:rPr/>
      </w:pPr>
      <w:r>
        <w:rPr>
          <w:color w:val="000000"/>
        </w:rPr>
        <w:t>•</w:t>
      </w:r>
      <w:r>
        <w:rPr>
          <w:rFonts w:ascii="Times New Roman;serif" w:hAnsi="Times New Roman;serif"/>
          <w:b w:val="false"/>
          <w:color w:val="000000"/>
          <w:sz w:val="20"/>
        </w:rPr>
        <w:t>Information technology general controls are not sufficiently or appropriately designed or implemented over in-scope business processes and financial reporting systems for Kestrel Group LLC.</w:t>
      </w:r>
    </w:p>
    <w:p>
      <w:pPr>
        <w:pStyle w:val="TextBody"/>
        <w:bidi w:val="0"/>
        <w:spacing w:lineRule="auto" w:line="228" w:before="0" w:after="120"/>
        <w:ind w:left="0" w:right="0" w:firstLine="90"/>
        <w:jc w:val="both"/>
        <w:rPr>
          <w:rFonts w:ascii="Times New Roman;serif" w:hAnsi="Times New Roman;serif"/>
          <w:b/>
          <w:color w:val="000000"/>
          <w:sz w:val="20"/>
          <w:u w:val="single"/>
        </w:rPr>
      </w:pPr>
      <w:r>
        <w:rPr>
          <w:rFonts w:ascii="Times New Roman;serif" w:hAnsi="Times New Roman;serif"/>
          <w:b/>
          <w:color w:val="000000"/>
          <w:sz w:val="20"/>
          <w:u w:val="single"/>
        </w:rPr>
        <w:t>Remediation Measures</w:t>
      </w:r>
    </w:p>
    <w:p>
      <w:pPr>
        <w:pStyle w:val="TextBody"/>
        <w:bidi w:val="0"/>
        <w:spacing w:lineRule="auto" w:line="228"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To address the material weakness described above, we have designed and implemented new and enhanced controls to ensure that: </w:t>
      </w:r>
    </w:p>
    <w:p>
      <w:pPr>
        <w:pStyle w:val="TextBody"/>
        <w:bidi w:val="0"/>
        <w:spacing w:lineRule="auto" w:line="240" w:before="0" w:after="120"/>
        <w:ind w:left="0" w:right="0" w:hanging="90"/>
        <w:jc w:val="both"/>
        <w:rPr/>
      </w:pPr>
      <w:r>
        <w:rPr>
          <w:color w:val="000000"/>
        </w:rPr>
        <w:t>•</w:t>
      </w:r>
      <w:r>
        <w:rPr>
          <w:rFonts w:ascii="Times New Roman;serif" w:hAnsi="Times New Roman;serif"/>
          <w:b w:val="false"/>
          <w:color w:val="000000"/>
          <w:sz w:val="20"/>
        </w:rPr>
        <w:t xml:space="preserve">in-house accounting personnel have training to ensure they have the relevant expertise related to technical accounting matters, particularly in revenue recognition; </w:t>
      </w:r>
    </w:p>
    <w:p>
      <w:pPr>
        <w:pStyle w:val="TextBody"/>
        <w:bidi w:val="0"/>
        <w:spacing w:lineRule="auto" w:line="240" w:before="0" w:after="120"/>
        <w:ind w:left="0" w:right="0" w:hanging="90"/>
        <w:jc w:val="both"/>
        <w:rPr/>
      </w:pPr>
      <w:r>
        <w:rPr>
          <w:color w:val="000000"/>
        </w:rPr>
        <w:t>•</w:t>
      </w:r>
      <w:r>
        <w:rPr>
          <w:rFonts w:ascii="Times New Roman;serif" w:hAnsi="Times New Roman;serif"/>
          <w:b w:val="false"/>
          <w:color w:val="000000"/>
          <w:sz w:val="20"/>
        </w:rPr>
        <w:t>there is greater segregation of duties and procedures to emphasize analysis of accounts;</w:t>
      </w:r>
    </w:p>
    <w:p>
      <w:pPr>
        <w:pStyle w:val="TextBody"/>
        <w:bidi w:val="0"/>
        <w:spacing w:lineRule="auto" w:line="240" w:before="0" w:after="120"/>
        <w:ind w:left="0" w:right="0" w:hanging="90"/>
        <w:jc w:val="both"/>
        <w:rPr/>
      </w:pPr>
      <w:r>
        <w:rPr>
          <w:color w:val="000000"/>
          <w:shd w:fill="FFFFFF" w:val="clear"/>
        </w:rPr>
        <w:t>•</w:t>
      </w:r>
      <w:r>
        <w:rPr>
          <w:rFonts w:ascii="Times New Roman;serif" w:hAnsi="Times New Roman;serif"/>
          <w:b w:val="false"/>
          <w:color w:val="000000"/>
          <w:sz w:val="20"/>
          <w:shd w:fill="FFFFFF" w:val="clear"/>
        </w:rPr>
        <w:t>many existing and proven Maiden controls are being integrated throughout the Kestrel Group to ensure full compliance;</w:t>
      </w:r>
    </w:p>
    <w:p>
      <w:pPr>
        <w:pStyle w:val="TextBody"/>
        <w:bidi w:val="0"/>
        <w:spacing w:lineRule="auto" w:line="240" w:before="0" w:after="120"/>
        <w:ind w:left="0" w:right="0" w:hanging="90"/>
        <w:jc w:val="both"/>
        <w:rPr/>
      </w:pPr>
      <w:r>
        <w:rPr>
          <w:color w:val="000000"/>
          <w:shd w:fill="FFFFFF" w:val="clear"/>
        </w:rPr>
        <w:t>•</w:t>
      </w:r>
      <w:r>
        <w:rPr>
          <w:rFonts w:ascii="Times New Roman;serif" w:hAnsi="Times New Roman;serif"/>
          <w:b w:val="false"/>
          <w:color w:val="000000"/>
          <w:sz w:val="20"/>
          <w:shd w:fill="FFFFFF" w:val="clear"/>
        </w:rPr>
        <w:t>Kestrel IT will be incorporated into the Maiden information technology general controls environment.</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believe the actions described above will be sufficient to remediate the identified material weakness and strengthen our internal control over financial reporting. However, the new and enhanced controls have not operated for a sufficient amount of time to conclude that the material weakness has been remediated. Further, the integration of the legacy Kestrel and Maiden businesses can also expose us to risks that material weaknesses may not be promptly resolved, potentially delaying completion of our consolidated internal control assessment and impairing our financial reporting. We will continue to monitor the effectiveness of these controls and will make any further changes management determines appropriate.</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Officer and Principal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an absolute assurance that all control issues and instances of fraud, if any, within our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20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40" w:before="0" w:after="120"/>
        <w:ind w:left="0" w:right="0" w:firstLine="270"/>
        <w:jc w:val="both"/>
        <w:rPr/>
      </w:pPr>
      <w:r>
        <w:rPr>
          <w:rFonts w:ascii="Times New Roman;serif" w:hAnsi="Times New Roman;serif"/>
          <w:b w:val="false"/>
          <w:color w:val="000000"/>
          <w:sz w:val="20"/>
        </w:rPr>
        <w:t>See "</w:t>
      </w:r>
      <w:r>
        <w:rPr>
          <w:rFonts w:ascii="Times New Roman;serif" w:hAnsi="Times New Roman;serif"/>
          <w:b w:val="false"/>
          <w:i/>
          <w:color w:val="000000"/>
          <w:sz w:val="20"/>
        </w:rPr>
        <w:t>Part I, Item 1 - Notes to Condensed Consolidated Financial Statements (unaudited) Note 11. Commitments and Contingencies</w:t>
      </w:r>
      <w:r>
        <w:rPr>
          <w:rFonts w:ascii="Times New Roman;serif" w:hAnsi="Times New Roman;serif"/>
          <w:b w:val="false"/>
          <w:color w:val="000000"/>
          <w:sz w:val="20"/>
        </w:rPr>
        <w:t xml:space="preserve">" for an update on legal matters. Except as disclosed above, there are no material changes from the legal proceedings previously disclosed in our Quarterly Report on Form 10-Q for the quarter ended June 30, 2025. </w:t>
      </w:r>
    </w:p>
    <w:p>
      <w:pPr>
        <w:pStyle w:val="TextBody"/>
        <w:bidi w:val="0"/>
        <w:spacing w:before="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1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a number of risks, including those identified in Item 1A. of Part II of our Quarterly Report on Form 10-Q for the quarter ended June 30, 2025, that could have a material adverse effect on our business, results of operations, financial condition and/or liquidity and that could cause our operating results to vary significantly from period to period. The risks described in our Quarterly Report on Form 10-Q for the quarter ended June 30, 2025 are not the only risks we face. Additional risks and uncertainties not currently known to us or that we currently deem to be immaterial also could have a material adverse effect on our business, results of operations, financial condition and/or liquidity.</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are no material changes from the risk factors previously disclosed in "Part II. Other Information, Item 1A. Risk Factors" of our Quarterly Report on Form 10-Q for the quarter ended June 30, 2025.</w:t>
      </w:r>
    </w:p>
    <w:p>
      <w:pPr>
        <w:pStyle w:val="TextBody"/>
        <w:bidi w:val="0"/>
        <w:spacing w:lineRule="auto" w:line="240" w:before="0" w:after="0"/>
        <w:ind w:left="0" w:right="0" w:firstLine="270"/>
        <w:jc w:val="both"/>
        <w:rPr/>
      </w:pPr>
      <w:r>
        <w:rPr>
          <w:rFonts w:ascii="Times New Roman;serif" w:hAnsi="Times New Roman;serif"/>
          <w:b w:val="false"/>
          <w:color w:val="000000"/>
          <w:sz w:val="20"/>
        </w:rPr>
        <w:t xml:space="preserve">Additional risk factors associated with the businesses of Maiden and which may adversely affect Kestrel Group may be found under </w:t>
      </w:r>
      <w:r>
        <w:rPr>
          <w:rFonts w:ascii="Times New Roman;serif" w:hAnsi="Times New Roman;serif"/>
          <w:b w:val="false"/>
          <w:i/>
          <w:color w:val="000000"/>
          <w:sz w:val="20"/>
        </w:rPr>
        <w:t>Part I, Item 1A. Risk Factors</w:t>
      </w:r>
      <w:r>
        <w:rPr>
          <w:color w:val="000000"/>
        </w:rPr>
        <w:t xml:space="preserve"> </w:t>
      </w:r>
      <w:r>
        <w:rPr>
          <w:rFonts w:ascii="Times New Roman;serif" w:hAnsi="Times New Roman;serif"/>
          <w:b w:val="false"/>
          <w:color w:val="000000"/>
          <w:sz w:val="20"/>
        </w:rPr>
        <w:t>in Maiden’s Annual Report on Form 10-K for the year ended December 31, 2024, which is on file with the SEC. Additional risks and uncertainties not presently known to Maiden, Kestrel or Kestrel Group or that are not currently believed to be important also may adversely affect Kestrel Group.</w:t>
      </w:r>
    </w:p>
    <w:p>
      <w:pPr>
        <w:pStyle w:val="TextBody"/>
        <w:bidi w:val="0"/>
        <w:spacing w:before="0" w:after="0"/>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40" w:before="200" w:after="120"/>
        <w:jc w:val="both"/>
        <w:rPr>
          <w:rFonts w:ascii="Times New Roman;serif" w:hAnsi="Times New Roman;serif"/>
          <w:b/>
          <w:color w:val="000000"/>
          <w:sz w:val="20"/>
        </w:rPr>
      </w:pPr>
      <w:r>
        <w:rPr>
          <w:rFonts w:ascii="Times New Roman;serif" w:hAnsi="Times New Roman;serif"/>
          <w:b/>
          <w:color w:val="000000"/>
          <w:sz w:val="20"/>
        </w:rPr>
        <w:t>Item 2. Unregistered Sales of Equity and Use of Proceeds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Items 2. (a) and (b) are not applicable. </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2. (c) Share Repurchases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table below details common share repurchases made during the three months ended September 30, 2025:</w:t>
      </w:r>
    </w:p>
    <w:tbl>
      <w:tblPr>
        <w:tblW w:w="10205" w:type="dxa"/>
        <w:jc w:val="left"/>
        <w:tblInd w:w="0" w:type="dxa"/>
        <w:tblLayout w:type="fixed"/>
        <w:tblCellMar>
          <w:top w:w="28" w:type="dxa"/>
          <w:left w:w="28" w:type="dxa"/>
          <w:bottom w:w="28" w:type="dxa"/>
          <w:right w:w="28" w:type="dxa"/>
        </w:tblCellMar>
      </w:tblPr>
      <w:tblGrid>
        <w:gridCol w:w="775"/>
        <w:gridCol w:w="563"/>
        <w:gridCol w:w="565"/>
        <w:gridCol w:w="109"/>
        <w:gridCol w:w="109"/>
        <w:gridCol w:w="109"/>
        <w:gridCol w:w="511"/>
        <w:gridCol w:w="511"/>
        <w:gridCol w:w="512"/>
        <w:gridCol w:w="109"/>
        <w:gridCol w:w="109"/>
        <w:gridCol w:w="109"/>
        <w:gridCol w:w="346"/>
        <w:gridCol w:w="667"/>
        <w:gridCol w:w="179"/>
        <w:gridCol w:w="109"/>
        <w:gridCol w:w="109"/>
        <w:gridCol w:w="109"/>
        <w:gridCol w:w="846"/>
        <w:gridCol w:w="846"/>
        <w:gridCol w:w="849"/>
        <w:gridCol w:w="109"/>
        <w:gridCol w:w="109"/>
        <w:gridCol w:w="109"/>
        <w:gridCol w:w="483"/>
        <w:gridCol w:w="895"/>
        <w:gridCol w:w="349"/>
      </w:tblGrid>
      <w:tr>
        <w:trPr/>
        <w:tc>
          <w:tcPr>
            <w:tcW w:w="77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amount still available under trading plan</w:t>
            </w:r>
          </w:p>
        </w:tc>
      </w:tr>
      <w:tr>
        <w:trPr/>
        <w:tc>
          <w:tcPr>
            <w:tcW w:w="1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in thousands)</w:t>
            </w:r>
          </w:p>
        </w:tc>
      </w:tr>
      <w:tr>
        <w:trPr/>
        <w:tc>
          <w:tcPr>
            <w:tcW w:w="190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2025 - July 31, 2025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2025 - August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2025 - September 30, 2025</w:t>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both"/>
        <w:rPr/>
      </w:pPr>
      <w:r>
        <w:rPr/>
      </w:r>
    </w:p>
    <w:p>
      <w:pPr>
        <w:pStyle w:val="TextBody"/>
        <w:bidi w:val="0"/>
        <w:spacing w:lineRule="auto" w:line="240" w:before="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Subsequent to the three months ended September 30, 2025 and through the period ended November 5, 2025, the Company did not repurchase any common shares.</w:t>
      </w:r>
    </w:p>
    <w:p>
      <w:pPr>
        <w:pStyle w:val="TextBody"/>
        <w:bidi w:val="0"/>
        <w:spacing w:before="0" w:after="18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12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270"/>
        <w:jc w:val="both"/>
        <w:rPr/>
      </w:pPr>
      <w:r>
        <w:rPr/>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12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40" w:before="120" w:after="1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40" w:before="120" w:after="120"/>
        <w:jc w:val="both"/>
        <w:rPr/>
      </w:pPr>
      <w:r>
        <w:rPr>
          <w:rFonts w:ascii="Times New Roman;serif" w:hAnsi="Times New Roman;serif"/>
          <w:b w:val="false"/>
          <w:color w:val="000000"/>
          <w:sz w:val="20"/>
          <w:u w:val="single"/>
        </w:rPr>
        <w:t>Executive Ownership and Sales</w:t>
      </w:r>
      <w:r>
        <w:rPr>
          <w:color w:val="000000"/>
        </w:rPr>
        <w:t xml:space="preserve"> </w:t>
      </w:r>
    </w:p>
    <w:p>
      <w:pPr>
        <w:pStyle w:val="TextBody"/>
        <w:bidi w:val="0"/>
        <w:spacing w:lineRule="auto" w:line="240" w:before="0" w:after="12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From time to time, some of the Company’s directors and executives may determine that it is advisable to diversify their investments for personal financial planning reasons, or may seek liquidity for other reasons, and may sell common shares of the Company in the open market, in private transactions or to the Company. To effect such sales, some of the Company’s directors and executives have previously entered into, and may in the future enter into, trading plans designed to comply with the Company’s Insider Trading and Outside Investments Policy and the provisions of Rule 10b5-1 under the Securities Exchange Act of 1934. The trading plans will not reduce any of the executives’ ownership of the Company’s shares below the applicable executive stock ownership guidelines. The Company does not undertake any obligation to report Rule 10b5-1 plans that may be adopted by any employee or director of the Company in the future, or to report any modifications or termination of any publicly announced plan.</w:t>
      </w:r>
    </w:p>
    <w:p>
      <w:pPr>
        <w:pStyle w:val="TextBody"/>
        <w:bidi w:val="0"/>
        <w:spacing w:lineRule="auto" w:line="240" w:before="0" w:after="120"/>
        <w:ind w:left="0" w:right="0" w:firstLine="180"/>
        <w:jc w:val="both"/>
        <w:rPr/>
      </w:pPr>
      <w:r>
        <w:rPr>
          <w:rFonts w:ascii="Times New Roman;serif" w:hAnsi="Times New Roman;serif"/>
          <w:b w:val="false"/>
          <w:color w:val="000000"/>
          <w:sz w:val="20"/>
        </w:rPr>
        <w:t xml:space="preserve">During the three months ended September 30, 2025, none of our directors or executive officers adopted or terminated a Rule 10b5-1 trading arrangement (as defined in Item 408(a)(1)(i) of Regulation S-K) or adopted or terminated a non-Rule 10b5-1 trading arrangement (as defined in Item 408(c) of Regulation </w:t>
      </w:r>
      <w:r>
        <w:rPr>
          <w:rFonts w:ascii="Times New Roman;serif" w:hAnsi="Times New Roman;serif"/>
          <w:b w:val="false"/>
          <w:color w:val="000000"/>
          <w:sz w:val="20"/>
          <w:u w:val="single"/>
        </w:rPr>
        <w:t>S-K).</w:t>
      </w:r>
    </w:p>
    <w:p>
      <w:pPr>
        <w:pStyle w:val="TextBody"/>
        <w:bidi w:val="0"/>
        <w:spacing w:before="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EXHIBIT INDEX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7"/>
        <w:gridCol w:w="207"/>
        <w:gridCol w:w="209"/>
        <w:gridCol w:w="109"/>
        <w:gridCol w:w="109"/>
        <w:gridCol w:w="109"/>
        <w:gridCol w:w="3150"/>
        <w:gridCol w:w="2833"/>
        <w:gridCol w:w="2867"/>
        <w:gridCol w:w="109"/>
        <w:gridCol w:w="109"/>
        <w:gridCol w:w="157"/>
      </w:tblGrid>
      <w:tr>
        <w:trPr/>
        <w:tc>
          <w:tcPr>
            <w:tcW w:w="2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0"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Exhibit </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 +</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both"/>
              <w:rPr/>
            </w:pPr>
            <w:hyperlink w:anchor="a101formofrestrictedshar.htm">
              <w:r>
                <w:rPr>
                  <w:rStyle w:val="InternetLink"/>
                  <w:rFonts w:ascii="Times New Roman;serif" w:hAnsi="Times New Roman;serif"/>
                  <w:b w:val="false"/>
                  <w:color w:val="0000FF"/>
                  <w:sz w:val="20"/>
                  <w:u w:val="single"/>
                </w:rPr>
                <w:t>Form of Restricted Share Agreement</w:t>
              </w:r>
            </w:hyperlink>
          </w:p>
        </w:tc>
        <w:tc>
          <w:tcPr>
            <w:tcW w:w="3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6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both"/>
              <w:rPr/>
            </w:pPr>
            <w:hyperlink w:anchor="q32025exhibit311.htm">
              <w:r>
                <w:rPr>
                  <w:rStyle w:val="InternetLink"/>
                  <w:rFonts w:ascii="Times New Roman;serif" w:hAnsi="Times New Roman;serif"/>
                  <w:b w:val="false"/>
                  <w:color w:val="0000FF"/>
                  <w:sz w:val="20"/>
                  <w:u w:val="single"/>
                </w:rPr>
                <w:t>Certification of Chief Executive Officer pursuant to Section 302 of the Sarbanes-Oxley Act of 2002 (filed herewith).</w:t>
              </w:r>
            </w:hyperlink>
          </w:p>
        </w:tc>
        <w:tc>
          <w:tcPr>
            <w:tcW w:w="37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both"/>
              <w:rPr/>
            </w:pPr>
            <w:hyperlink w:anchor="q32025exhibit312.htm">
              <w:r>
                <w:rPr>
                  <w:rStyle w:val="InternetLink"/>
                  <w:rFonts w:ascii="Times New Roman;serif" w:hAnsi="Times New Roman;serif"/>
                  <w:b w:val="false"/>
                  <w:color w:val="0000FF"/>
                  <w:sz w:val="20"/>
                  <w:u w:val="single"/>
                </w:rPr>
                <w:t>Certification of Chief Financial Officer pursuant to Section 302 of the Sarbanes-Oxley Act of 2002 (filed herewith).</w:t>
              </w:r>
            </w:hyperlink>
          </w:p>
        </w:tc>
        <w:tc>
          <w:tcPr>
            <w:tcW w:w="37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both"/>
              <w:rPr/>
            </w:pPr>
            <w:hyperlink w:anchor="q32025exhibit321.htm">
              <w:r>
                <w:rPr>
                  <w:rStyle w:val="InternetLink"/>
                  <w:rFonts w:ascii="Times New Roman;serif" w:hAnsi="Times New Roman;serif"/>
                  <w:b w:val="false"/>
                  <w:color w:val="0000FF"/>
                  <w:sz w:val="20"/>
                  <w:u w:val="single"/>
                </w:rPr>
                <w:t>Certification of Chief Executive Officer pursuant to Section 906 of the Sarbanes-Oxley Act of 2002 (filed herewith).</w:t>
              </w:r>
            </w:hyperlink>
          </w:p>
        </w:tc>
        <w:tc>
          <w:tcPr>
            <w:tcW w:w="37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both"/>
              <w:rPr/>
            </w:pPr>
            <w:hyperlink w:anchor="q32025exhibit322.htm">
              <w:r>
                <w:rPr>
                  <w:rStyle w:val="InternetLink"/>
                  <w:rFonts w:ascii="Times New Roman;serif" w:hAnsi="Times New Roman;serif"/>
                  <w:b w:val="false"/>
                  <w:color w:val="0000FF"/>
                  <w:sz w:val="20"/>
                  <w:u w:val="single"/>
                </w:rPr>
                <w:t xml:space="preserve">Certification of Chief Financial Officer pursuant to Section 906 of the Sarbanes-Oxley Act of 2002 (filed herewith). </w:t>
              </w:r>
            </w:hyperlink>
          </w:p>
        </w:tc>
        <w:tc>
          <w:tcPr>
            <w:tcW w:w="37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materials from Kestrel Group Ltd Quarterly Report on Form 10-Q for the quarter ended September 30, 2025 formatted in Inline XBRL: (i) unaudited Condensed Consolidated Balance Sheets; (ii) unaudited Condensed Consolidated Statements of Income; (iii) unaudited Condensed Consolidated Statements of Comprehensive Income; (iv) unaudited Condensed Consolidated Statements of Changes in Shareholders' Equity; (v) unaudited Condensed Consolidated Statements of Cash Flows; and (vi) Notes to unaudited Condensed Consolidated Financial Statements.</w:t>
            </w:r>
          </w:p>
        </w:tc>
        <w:tc>
          <w:tcPr>
            <w:tcW w:w="37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104.0</w:t>
            </w:r>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8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in Inline XBRL and contained in Exhibit 101)</w:t>
            </w:r>
          </w:p>
        </w:tc>
        <w:tc>
          <w:tcPr>
            <w:tcW w:w="3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 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40"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40" w:before="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270"/>
        <w:jc w:val="left"/>
        <w:rPr/>
      </w:pPr>
      <w:r>
        <w:rPr/>
      </w:r>
    </w:p>
    <w:tbl>
      <w:tblPr>
        <w:tblW w:w="8214" w:type="dxa"/>
        <w:jc w:val="left"/>
        <w:tblInd w:w="0" w:type="dxa"/>
        <w:tblLayout w:type="fixed"/>
        <w:tblCellMar>
          <w:top w:w="28" w:type="dxa"/>
          <w:left w:w="28" w:type="dxa"/>
          <w:bottom w:w="28" w:type="dxa"/>
          <w:right w:w="28" w:type="dxa"/>
        </w:tblCellMar>
      </w:tblPr>
      <w:tblGrid>
        <w:gridCol w:w="587"/>
        <w:gridCol w:w="516"/>
        <w:gridCol w:w="517"/>
        <w:gridCol w:w="378"/>
        <w:gridCol w:w="378"/>
        <w:gridCol w:w="378"/>
        <w:gridCol w:w="1595"/>
        <w:gridCol w:w="1595"/>
        <w:gridCol w:w="2270"/>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MAIDEN HOLDINGS, LTD.</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Bradford Luke Ledbetter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Luke Ledbetter</w:t>
              <w:br/>
              <w:t>Chief Executive Officer (Principal Executive Officer)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J. Haveron</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J. Haveron</w:t>
              <w:br/>
              <w:t>President and Chief Financial Officer (Principal Financial Officer)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460" w:type="dxa"/>
            <w:gridSpan w:val="3"/>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4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ind w:left="0" w:right="0" w:firstLine="270"/>
        <w:jc w:val="left"/>
        <w:rPr/>
      </w:pPr>
      <w:r>
        <w:rPr/>
      </w:r>
    </w:p>
    <w:p>
      <w:pPr>
        <w:pStyle w:val="TextBody"/>
        <w:bidi w:val="0"/>
        <w:spacing w:before="0" w:after="0"/>
        <w:jc w:val="center"/>
        <w:rPr/>
      </w:pPr>
      <w:bookmarkStart w:id="0" w:name="a101formofrestrictedshar.htm"/>
      <w:bookmarkStart w:id="1" w:name="ksa101formofrestrictedshar"/>
      <w:bookmarkEnd w:id="0"/>
      <w:bookmarkEnd w:id="1"/>
      <w:r>
        <w:rPr/>
        <w:drawing>
          <wp:inline distT="0" distB="0" distL="0" distR="0">
            <wp:extent cx="10048875" cy="13001625"/>
            <wp:effectExtent l="0" t="0" r="0" b="0"/>
            <wp:docPr id="8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jc w:val="center"/>
        <w:rPr>
          <w:color w:val="FFFFFF"/>
          <w:sz w:val="2"/>
        </w:rPr>
      </w:pPr>
      <w:r>
        <w:rPr>
          <w:color w:val="FFFFFF"/>
          <w:sz w:val="2"/>
        </w:rPr>
        <w:t xml:space="preserve">Exhibit 10.1 KESTREL GROUP LTD Restricted Share Agreement This Restricted Share Agreement (this “Agreement”), effective as of [DATE] (the “Grant Date”), is between Kestrel Group Ltd, a Bermuda company (the “Company”), and [•] (the “Participant”). 1. Grant of Shares. The Company hereby grants to the Participant [•] shares (the “Shares”) of the Company’s common shares, $.01 par value, as set forth in and subject to the terms and conditions herein. These Shares have been duly granted by the Compensation Committee (the “Committee”) of the Board of Directors of the Company (the “Board”) pursuant to the Company’s 2025 Equity Incentive Plan (the “Plan”). This Agreement shall be subject to the terms and conditions of the Plan, which is incorporated herein by reference. Any capitalized terms not defined herein shall have the meaning set forth in the Plan. 2. Vesting of Shares and Provisions for Termination and Change of Control. (a) The Shares shall initially be unvested. The Shares shall vest one-third (1/3) on the first anniversary of the Grant Date, one-third (1/3) on the second anniversary of the Grant Date, and one-third (1/3) on the third anniversary of the Grant Date. (b) If the Participant’s employment with the Company terminates for any reason prior to the third anniversary of the Grant Date and prior to the date the Company consummates a Change of Control, the Participant shall forfeit without compensation any Shares that remain unvested on the date that the termination of the Participant’s employment becomes effective, except in the event of (1) Participant’s death or permanent disability, in which case Participant’s personal representatives, heirs or legatees shall vest in one hundred percent (100%) of the Shares, or (2) a termination not for Cause (defined below), in which case Participant shall vest in one hundred percent (100%) of the Shares on the date the termination of the Participant’s employment becomes effective. “Cause” for purposes of this Agreement means “Cause” as defined in the Participant’s employment, consulting and/or severance agreement with the Company in effect at the time of the Participant’s termination of employment or, in the absence of such an agreement or definition, “Cause” shall have the same definition as provided in the Plan. (c) If the Company consummates a Change of Control (as defined in the Plan) prior to the third anniversary of the Grant Date and the acquirer does not assume this Agreement, the Participant shall vest in one hundred percent (100%) of the Shares immediately prior to the time the Change of Control becomes effective. If the Company consummates a Change of Control (as defined in the Plan) prior to the third anniversary of the Grant Date and the acquirer assumes this Agreement, the Shares shall continue to vest in accordance with the schedule set forth in Section 2(a), provided, however, that if the Company or its successor terminates the Participant’s employment with the Company or its successor for any reason other than for Cause or the Participant resigns for Good Reason (defined below) within twenty-four (24) months following the closing date of the Change of Control, the Participant shall vest in one hundred percent (100%) of the Shares on the date the termination of the Participant’s employment becomes effective. If the Company or its successor terminates the Participant’s employment for Cause or the Participant resigns his or her employment with the Company or its successor for any reason other than Good Reason, the Participant shall forfeit without compensation any Shares that remain unvested on the date the termination of the Participant’s employment becomes effective. “Good Reason” for purposes of this Agreement means “Good Reason” as defined in the Participant’s employment, consulting and/or severance agreement with the Company in effect at the time of the Participant’s termination of employment or, in the absence of such an agreement or definition, “Good Reason” shall have the same definition as provided in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3. Delivery of Shares. (a) The Company shall, in its discretion, issue the Shares either (i) in certificate form as provided in Section 3(b); or (ii) in book entry form, registered in the name of the Participant with notations regarding the applicable restrictions on transfer imposed under this Agreement or the Plan. (b) Prior to the date the Shares vest pursuant to Section 2, all certificates representing the Shares shall have endorsed thereon a legend substantially as follows: “The shares represented by this certificate are subject to restrictions set forth in the Kestrel Group Ltd 2025 Equity Incentive Plan and a Restricted Share Agreement effective as of [DATE] with Kestrel Group Ltd, a copy of which plan and agreement is available for inspection at the offices of Kestrel Group Ltd or will be made available on request.” (c) If the Company delivers certificates representing the Shares to the Participant prior to the vesting of the Shares pursuant to Section 2, the Participant shall redeliver the certificates to the Company to be held by the Company or its designee until the Shares vest pursuant to Section 2. (d) Promptly after the date any Shares vest pursuant to Section 2, the Company shall, as applicable, either remove the notations on any vested Shares issued in book entry form or deliver to the Participant a certificate or certificates evidencing the number of vested Shares. The Participant shall deliver to the Company any representations, documents or other assurances the Company or its counsel deems necessary or reasonably desirable to ensure compliance with all applicable legal and regulatory requirements. 4. Transferability of Shares. (a) Prior to the date on which the Shares vest pursuant to Section 2 of this Agreement, except as stated above with respect to a transfer of the Shares made to the Participant’s personal representatives, heirs or legatees, no rights granted hereunder shall be transferred, assigned, pledged or hypothecated in any way (whether by operation of law or otherwise) nor shall any such rights be subject to execution, attachment or similar process. Upon any attempt to transfer, assign, pledge, hypothecate or otherwise dispose of unvested Shares or of such rights contrary to the provisions here, or upon the levy of any attachment or similar process upon any unvested Shares of such rights, these Shares and such rights shall, at the election of the Company, become null and void. (b) Following the Company’s delivery to the Participant of the certificate representing the vested Shares pursuant to Section 3(d), the transfer or sale of the Shares shall be subject to the Company’s policy concerning insider trading, unless the Participant makes a valid election to transfer or sell the Shares in accordance with Rule 10b5-1 of the United States securities laws. 5. Rights as a Shareholder. The Participant shall have all the rights of a shareholder with respect to the Shares, including voting and dividend rights, subject only to the transfer and other restrictions set forth in this Agreement and in the Plan. 6. No Right to Employment. Neither the Shares nor this Agreement gives Participant the right to be retained by the Company in any capacity and Participant’s employment may be terminated at any time and for any reason, except as provided in an employment agreement between the Company and Participant, if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7. Recapitalization. If there is any change in the corporate structure or shares of the Company, the Committee (as defined in the Plan) or the Board shall make any appropriate adjustments, including, but not limited to, such adjustments deemed necessary to prevent accretion, or to protect against dilution, in the number and kind of Shares. All adjustments shall be determined by the Committee or the Board in its sole discretion and such determination shall be binding on the Participant. 8. Extraordinary Corporate Transaction. In the event of an extraordinary dividend or other distribution, merger, reorganization, consolidation, combination, sale of assets, split up, exchange or spin off or other extraordinary corporate transaction, the Committee or the Board shall, in the manner determined by the Board or Committee in its sole discretion, make provision for a cash payment or for the substitution or exchange of the Shares awarded to the Participant pursuant to this Agreement based upon the distribution or consideration payable to holders of Shares upon or in respect of such event. 9. Compliance with Laws and Regulations. (a) The Company will not be obligated to issue or deliver any Shares to the Participant unless the issuance and delivery of such shares complies with applicable law, including, without limitation, the Securities Act of 1933, the Securities Exchange Act of 1934, as amended, applicable state securities law and the requirements of any stock exchange or market upon which the Shares may then be listed, and shall be further subject to the approval of counsel for the Company with respect to such compliance. (b) In connection with the delivery of Shares to the Participant following the vesting of any Shares, the Participant shall execute and deliver to the Company such representations in writing as may be requested by the Committee or the Company that the Company may comply with the applicable requirements of federal and state securities laws. 10. Withholding. The Company (or any of its subsidiaries if the Participant is employed by a subsidiary) shall have the right to deduct from payments of any kind otherwise due to the Participant (including payment of salary or bonuses), or to withhold a number of the Shares otherwise having a fair market value (as determined on the vesting date) up to the maximum federal, state and local taxes of any kind required by law to be withheld with respect to the delivery of the Shares to the Participant, provided that such withheld amount does not result in adverse accounting treatment for the award to the Company. In the alternative, the Participant may make a timely election pursuant to Section 83(b) of the Code or similar provision of state law (collectively, an “83(b) Election”) and provide to the Company a copy of such election and proof of filing. The Company advises the Participant to seek personal tax and financial advice as to the consequences of the transfer of the Shares under this Agreement and the taxability of the Shares. The timely filing of an 83(b) election is the Participant’s sole responsibility, even if the Participant requests the Company or its representative to file such election on the Participant’s behalf. 11. Successors and Assigns. The Company may assign any of its rights under this Agreement without the Participant’s consent. This Agreement will be binding upon and inure to the benefit of the successors and assigns of the Company. Subject to the restrictions on transfer set forth herein and in the Plan, this Agreement will be binding upon the Participant and the Participant’s beneficiaries, executors, administrators and the person(s) to whom the Shares may be transferred by will or the laws of descent or distribution.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12. Miscellaneous. (a) All notices under this Agreement shall be mailed or delivered by hand to the parties at their respective addresses set forth beneath their names below or at such other address as may be designated in writing by either of the parties to one another. (b) Nothing contained herein shall be deemed an undertaking by the Company to continue Participant’s employment by the Company which may be terminated at any time at the sole discretion of the Company, except as provided in an employment agreement between the Company and Participant, if any. (c) This Agreement shall be governed by and construed in accordance with the laws of Bermuda without regard to any conflicts or choice of law rules or principles that might otherwise refer construction or interpretation of this Agreement to the substantive law of another jurisdiction. (d) The Committee and the Company do not guarantee the Shares from loss or depreciation. (e) Shares earned and delivered under this Agreement shall be subject to any recoupment policy for awards under the Plan adopted by the Company as such policy exists from time to time. Any such policy may subject your Shares and amounts paid or realized with respect to your Shares to reduction, cancelation, forfeiture or recoupment if certain specified events or wrongful conduct occur, including but not limited to an accounting restatement due to the Company’s material noncompliance with financial reporting regulations or other events or wrongful conduct specified in any such clawback policy adopted to conform to the Dodd-Frank Wall Street Reform and Consumer Protection Act of 2010 and rules promulgated thereunder by the Securities and Exchange Commission and that the Company determines should apply to these Shares. 13. Entire Agreement; Amendment. This Agreement constitutes the entire agreement of the parties with regard to the subject matter hereof, and contains all the covenants, promises, representations, warranties and agreements between the parties with respect to the Shares granted hereby; provided¸ however, that the terms of this Agreement shall not modify and shall be subject to the terms and conditions of any employment, consulting and/or severance agreement between the Company (or an affiliate or other entity) and the Participant in effect as of the date a determination is to be made under this Agreement. Without limiting the scope of the preceding sentence, except as provided therein, all prior understandings and agreements, if any, among the parties hereto relating to the subject matter hereof are hereby null and void and of no further force and effect. The Committee may, in its sole discretion, amend this Agreement from time to time in any manner that is not inconsistent with the Plan; provided, however, that except as otherwise provided in the Plan or this Agreement, any such amendment that materially reduces the rights of the Participant shall be effective only if it is in writing and signed by both the Participant and an authorized officer of the Company. 14. Severability and Waiver. If a court of competent jurisdiction determines that any provision of this Agreement is invalid or unenforceable, then the invalidity or unenforceability of such provision shall not affect the validity or enforceability of any other provision of this Agreement, and all other provisions shall remain in full force and effect. Waiver by any party of any breach of this Agreement or failure to exercise any right hereunder shall not be deemed to be a waiver of any other breach or right. The failure of any party to take action by reason of such breach or to exercise any such right shall not deprive the party of the right to take action at any time while or after such breach or condition giving rise to such rights continues.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KESTREL GROUP LTD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PARTICIPANT’S ACCEPTANCE The undersigned hereby accepts the foregoing Shares and agrees to the terms and conditions thereof. PARTICIPANT: Signature: Name: Address: Date: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both"/>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 Bradford Luke Ledbetter, certify that:</w:t>
      </w:r>
    </w:p>
    <w:p>
      <w:pPr>
        <w:pStyle w:val="TextBody"/>
        <w:bidi w:val="0"/>
        <w:spacing w:before="0" w:after="0"/>
        <w:ind w:left="0" w:right="0" w:firstLine="270"/>
        <w:jc w:val="left"/>
        <w:rPr/>
      </w:pPr>
      <w:r>
        <w:rPr/>
      </w:r>
    </w:p>
    <w:tbl>
      <w:tblPr>
        <w:tblW w:w="6356" w:type="dxa"/>
        <w:jc w:val="center"/>
        <w:tblInd w:w="0" w:type="dxa"/>
        <w:tblLayout w:type="fixed"/>
        <w:tblCellMar>
          <w:top w:w="28" w:type="dxa"/>
          <w:left w:w="28" w:type="dxa"/>
          <w:bottom w:w="28" w:type="dxa"/>
          <w:right w:w="28" w:type="dxa"/>
        </w:tblCellMar>
      </w:tblPr>
      <w:tblGrid>
        <w:gridCol w:w="124"/>
        <w:gridCol w:w="109"/>
        <w:gridCol w:w="109"/>
        <w:gridCol w:w="1758"/>
        <w:gridCol w:w="1758"/>
        <w:gridCol w:w="24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w:t>
            </w:r>
          </w:p>
        </w:tc>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Kestrel Group Ltd;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any consolidated subsidiaries, is made known to us by others within those entities, particularly during the period in which this report is being prepared;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center"/>
        <w:rPr/>
      </w:pPr>
      <w:r>
        <w:rPr/>
      </w:r>
    </w:p>
    <w:tbl>
      <w:tblPr>
        <w:tblW w:w="6386" w:type="dxa"/>
        <w:jc w:val="center"/>
        <w:tblInd w:w="0" w:type="dxa"/>
        <w:tblLayout w:type="fixed"/>
        <w:tblCellMar>
          <w:top w:w="28" w:type="dxa"/>
          <w:left w:w="28" w:type="dxa"/>
          <w:bottom w:w="28" w:type="dxa"/>
          <w:right w:w="28" w:type="dxa"/>
        </w:tblCellMar>
      </w:tblPr>
      <w:tblGrid>
        <w:gridCol w:w="587"/>
        <w:gridCol w:w="516"/>
        <w:gridCol w:w="517"/>
        <w:gridCol w:w="109"/>
        <w:gridCol w:w="109"/>
        <w:gridCol w:w="109"/>
        <w:gridCol w:w="691"/>
        <w:gridCol w:w="691"/>
        <w:gridCol w:w="691"/>
        <w:gridCol w:w="691"/>
        <w:gridCol w:w="691"/>
        <w:gridCol w:w="98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Bradford Luke Ledbetter</w:t>
            </w:r>
          </w:p>
        </w:tc>
      </w:tr>
      <w:tr>
        <w:trPr/>
        <w:tc>
          <w:tcPr>
            <w:tcW w:w="1620"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Luke Ledbetter</w:t>
              <w:br/>
              <w:t>Chief Executive Officer (Principal Executive Officer)</w:t>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23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Patrick J. Haveron, certify that:</w:t>
      </w:r>
    </w:p>
    <w:p>
      <w:pPr>
        <w:pStyle w:val="TextBody"/>
        <w:bidi w:val="0"/>
        <w:spacing w:before="0" w:after="0"/>
        <w:jc w:val="left"/>
        <w:rPr/>
      </w:pPr>
      <w:r>
        <w:rPr/>
      </w:r>
    </w:p>
    <w:tbl>
      <w:tblPr>
        <w:tblW w:w="6356" w:type="dxa"/>
        <w:jc w:val="center"/>
        <w:tblInd w:w="0" w:type="dxa"/>
        <w:tblLayout w:type="fixed"/>
        <w:tblCellMar>
          <w:top w:w="28" w:type="dxa"/>
          <w:left w:w="28" w:type="dxa"/>
          <w:bottom w:w="28" w:type="dxa"/>
          <w:right w:w="28" w:type="dxa"/>
        </w:tblCellMar>
      </w:tblPr>
      <w:tblGrid>
        <w:gridCol w:w="124"/>
        <w:gridCol w:w="109"/>
        <w:gridCol w:w="109"/>
        <w:gridCol w:w="1758"/>
        <w:gridCol w:w="1758"/>
        <w:gridCol w:w="24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w:t>
            </w:r>
          </w:p>
        </w:tc>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Kestrel Group Ltd;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any consolidated subsidiaries, is made known to us by others within those entities, particularly during the period in which this report is being prepared;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8" w:before="0" w:after="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both"/>
        <w:rPr>
          <w:color w:val="000000"/>
        </w:rPr>
      </w:pPr>
      <w:r>
        <w:rPr>
          <w:color w:val="000000"/>
        </w:rPr>
        <w:t> </w:t>
      </w:r>
    </w:p>
    <w:tbl>
      <w:tblPr>
        <w:tblW w:w="7734" w:type="dxa"/>
        <w:jc w:val="left"/>
        <w:tblInd w:w="0" w:type="dxa"/>
        <w:tblLayout w:type="fixed"/>
        <w:tblCellMar>
          <w:top w:w="28" w:type="dxa"/>
          <w:left w:w="28" w:type="dxa"/>
          <w:bottom w:w="28" w:type="dxa"/>
          <w:right w:w="28" w:type="dxa"/>
        </w:tblCellMar>
      </w:tblPr>
      <w:tblGrid>
        <w:gridCol w:w="587"/>
        <w:gridCol w:w="516"/>
        <w:gridCol w:w="517"/>
        <w:gridCol w:w="109"/>
        <w:gridCol w:w="109"/>
        <w:gridCol w:w="109"/>
        <w:gridCol w:w="1803"/>
        <w:gridCol w:w="1803"/>
        <w:gridCol w:w="1809"/>
        <w:gridCol w:w="109"/>
        <w:gridCol w:w="109"/>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J. Haveron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20"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J. Haveron</w:t>
              <w:br/>
              <w:t>President and Chief Financial Officer (Principal Financial Officer)</w:t>
            </w:r>
          </w:p>
        </w:tc>
        <w:tc>
          <w:tcPr>
            <w:tcW w:w="372"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both"/>
        <w:rPr>
          <w:color w:val="000000"/>
        </w:rPr>
      </w:pPr>
      <w:r>
        <w:rPr>
          <w:color w:val="000000"/>
        </w:rPr>
        <w:t> </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the undersigned officer of Kestrel Group Ltd (the “Company”), hereby certifies, to such officer's knowledge, that:</w:t>
      </w:r>
    </w:p>
    <w:p>
      <w:pPr>
        <w:pStyle w:val="TextBody"/>
        <w:bidi w:val="0"/>
        <w:spacing w:lineRule="auto" w:line="240" w:before="0" w:after="0"/>
        <w:ind w:left="0" w:right="0" w:firstLine="270"/>
        <w:jc w:val="both"/>
        <w:rPr>
          <w:color w:val="000000"/>
        </w:rPr>
      </w:pPr>
      <w:r>
        <w:rPr>
          <w:color w:val="000000"/>
        </w:rPr>
        <w:t> </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Company's Quarterly Report on Form 10-Q for the quarter ended September 30, 2025 (the “Report”) fully complies with the requirements of Section 13(a) or 15(d) of the Securities Exchange Act of 1934 and the information contained in the Report fairly presents, in all material respects, the financial condition and results of operations of the Company.</w:t>
      </w:r>
    </w:p>
    <w:p>
      <w:pPr>
        <w:pStyle w:val="TextBody"/>
        <w:bidi w:val="0"/>
        <w:spacing w:lineRule="auto" w:line="288" w:before="0" w:after="0"/>
        <w:jc w:val="both"/>
        <w:rPr>
          <w:color w:val="000000"/>
        </w:rPr>
      </w:pPr>
      <w:r>
        <w:rPr>
          <w:color w:val="000000"/>
        </w:rPr>
        <w:t> </w:t>
      </w:r>
    </w:p>
    <w:tbl>
      <w:tblPr>
        <w:tblW w:w="6553" w:type="dxa"/>
        <w:jc w:val="left"/>
        <w:tblInd w:w="0" w:type="dxa"/>
        <w:tblLayout w:type="fixed"/>
        <w:tblCellMar>
          <w:top w:w="28" w:type="dxa"/>
          <w:left w:w="28" w:type="dxa"/>
          <w:bottom w:w="28" w:type="dxa"/>
          <w:right w:w="28" w:type="dxa"/>
        </w:tblCellMar>
      </w:tblPr>
      <w:tblGrid>
        <w:gridCol w:w="587"/>
        <w:gridCol w:w="516"/>
        <w:gridCol w:w="517"/>
        <w:gridCol w:w="164"/>
        <w:gridCol w:w="164"/>
        <w:gridCol w:w="166"/>
        <w:gridCol w:w="691"/>
        <w:gridCol w:w="691"/>
        <w:gridCol w:w="691"/>
        <w:gridCol w:w="691"/>
        <w:gridCol w:w="691"/>
        <w:gridCol w:w="98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44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Bradford Luke Ledbetter</w:t>
            </w:r>
          </w:p>
        </w:tc>
      </w:tr>
      <w:tr>
        <w:trPr/>
        <w:tc>
          <w:tcPr>
            <w:tcW w:w="1620"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4"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Luke Ledbetter</w:t>
              <w:br/>
              <w:t>Chief Executive Officer (Principal Executive Officer)</w:t>
            </w:r>
          </w:p>
        </w:tc>
      </w:tr>
    </w:tbl>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Report.</w:t>
      </w:r>
    </w:p>
    <w:p>
      <w:pPr>
        <w:pStyle w:val="TextBody"/>
        <w:bidi w:val="0"/>
        <w:spacing w:lineRule="auto" w:line="288" w:before="0" w:after="0"/>
        <w:ind w:left="0" w:right="0" w:firstLine="270"/>
        <w:jc w:val="left"/>
        <w:rPr>
          <w:color w:val="000000"/>
        </w:rPr>
      </w:pPr>
      <w:r>
        <w:rPr>
          <w:color w:val="000000"/>
        </w:rPr>
        <w:t> </w:t>
      </w:r>
    </w:p>
    <w:p>
      <w:pPr>
        <w:pStyle w:val="TextBody"/>
        <w:bidi w:val="0"/>
        <w:spacing w:before="0" w:after="0"/>
        <w:ind w:left="0" w:right="0" w:firstLine="27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both"/>
        <w:rPr>
          <w:color w:val="000000"/>
        </w:rPr>
      </w:pPr>
      <w:r>
        <w:rPr>
          <w:color w:val="000000"/>
        </w:rPr>
        <w:t> </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the undersigned officer of Kestrel Group Ltd (the “Company”), hereby certifies, to such officer's knowledge, that:</w:t>
      </w:r>
    </w:p>
    <w:p>
      <w:pPr>
        <w:pStyle w:val="TextBody"/>
        <w:bidi w:val="0"/>
        <w:spacing w:lineRule="auto" w:line="288" w:before="0" w:after="0"/>
        <w:jc w:val="both"/>
        <w:rPr>
          <w:color w:val="000000"/>
        </w:rPr>
      </w:pPr>
      <w:r>
        <w:rPr>
          <w:color w:val="000000"/>
        </w:rPr>
        <w:t> </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Company's Quarterly Report on Form 10-Q for the quarter ended September 30, 2025 (the “Report”) fully complies with the requirements of Section 13(a) or 15(d) of the Securities Exchange Act of 1934 and the information contained in the Report fairly presents, in all material respects, the financial condition and results of operations of the Company.</w:t>
      </w:r>
    </w:p>
    <w:p>
      <w:pPr>
        <w:pStyle w:val="TextBody"/>
        <w:bidi w:val="0"/>
        <w:spacing w:lineRule="auto" w:line="240" w:before="0" w:after="0"/>
        <w:ind w:left="0" w:right="0" w:firstLine="270"/>
        <w:jc w:val="both"/>
        <w:rPr>
          <w:color w:val="000000"/>
        </w:rPr>
      </w:pPr>
      <w:r>
        <w:rPr>
          <w:color w:val="000000"/>
        </w:rPr>
        <w:t> </w:t>
      </w:r>
    </w:p>
    <w:tbl>
      <w:tblPr>
        <w:tblW w:w="7901" w:type="dxa"/>
        <w:jc w:val="left"/>
        <w:tblInd w:w="0" w:type="dxa"/>
        <w:tblLayout w:type="fixed"/>
        <w:tblCellMar>
          <w:top w:w="28" w:type="dxa"/>
          <w:left w:w="28" w:type="dxa"/>
          <w:bottom w:w="28" w:type="dxa"/>
          <w:right w:w="28" w:type="dxa"/>
        </w:tblCellMar>
      </w:tblPr>
      <w:tblGrid>
        <w:gridCol w:w="587"/>
        <w:gridCol w:w="516"/>
        <w:gridCol w:w="517"/>
        <w:gridCol w:w="164"/>
        <w:gridCol w:w="164"/>
        <w:gridCol w:w="166"/>
        <w:gridCol w:w="1803"/>
        <w:gridCol w:w="1803"/>
        <w:gridCol w:w="1809"/>
        <w:gridCol w:w="109"/>
        <w:gridCol w:w="109"/>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J. Haveron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20"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4"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J. Haveron</w:t>
              <w:br/>
              <w:t>President and Chief Financial Officer (Principal Financial Officer)</w:t>
            </w:r>
          </w:p>
        </w:tc>
        <w:tc>
          <w:tcPr>
            <w:tcW w:w="372" w:type="dxa"/>
            <w:gridSpan w:val="3"/>
            <w:tcBorders>
              <w:top w:val="single" w:sz="32"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ind w:left="0" w:right="0" w:firstLine="270"/>
        <w:jc w:val="both"/>
        <w:rPr>
          <w:color w:val="000000"/>
        </w:rPr>
      </w:pPr>
      <w:r>
        <w:rPr>
          <w:color w:val="000000"/>
        </w:rPr>
        <w:t> </w:t>
      </w:r>
    </w:p>
    <w:p>
      <w:pPr>
        <w:pStyle w:val="TextBody"/>
        <w:bidi w:val="0"/>
        <w:spacing w:lineRule="auto" w:line="240"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Report.</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56077</Words>
  <Characters>313469</Characters>
  <CharactersWithSpaces>366894</CharactersWithSpaces>
  <Paragraphs>5128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a101formofrestrictedshar</dc:title>
</cp:coreProperties>
</file>