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49" w:lineRule="exact"/>
        <w:rPr>
          <w:sz w:val="24"/>
          <w:szCs w:val="24"/>
          <w:color w:val="auto"/>
        </w:rPr>
      </w:pPr>
    </w:p>
    <w:p>
      <w:pPr>
        <w:ind w:left="1040" w:hanging="995"/>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For the quarterly period ended </w:t>
      </w:r>
      <w:r>
        <w:rPr>
          <w:rFonts w:ascii="Times New Roman" w:cs="Times New Roman" w:eastAsia="Times New Roman" w:hAnsi="Times New Roman"/>
          <w:sz w:val="17"/>
          <w:szCs w:val="17"/>
          <w:b w:val="1"/>
          <w:bCs w:val="1"/>
          <w:color w:val="auto"/>
        </w:rPr>
        <w:t>June 30, 2025</w:t>
      </w:r>
    </w:p>
    <w:p>
      <w:pPr>
        <w:spacing w:after="0" w:line="186" w:lineRule="exact"/>
        <w:rPr>
          <w:sz w:val="24"/>
          <w:szCs w:val="24"/>
          <w:color w:val="auto"/>
        </w:rPr>
      </w:pPr>
    </w:p>
    <w:p>
      <w:pPr>
        <w:ind w:left="1040" w:hanging="995"/>
        <w:spacing w:after="0"/>
        <w:tabs>
          <w:tab w:leader="none" w:pos="10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1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001-42668</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Kestrel Group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540" w:type="dxa"/>
        <w:tblCellMar>
          <w:top w:w="0" w:type="dxa"/>
          <w:left w:w="0" w:type="dxa"/>
          <w:bottom w:w="0" w:type="dxa"/>
          <w:right w:w="0" w:type="dxa"/>
        </w:tblCellMar>
      </w:tblPr>
      <w:tr>
        <w:trPr>
          <w:trHeight w:val="211"/>
        </w:trPr>
        <w:tc>
          <w:tcPr>
            <w:tcW w:w="220" w:type="dxa"/>
            <w:vAlign w:val="bottom"/>
          </w:tcPr>
          <w:p>
            <w:pPr>
              <w:spacing w:after="0"/>
              <w:rPr>
                <w:sz w:val="18"/>
                <w:szCs w:val="18"/>
                <w:color w:val="auto"/>
              </w:rPr>
            </w:pPr>
          </w:p>
        </w:tc>
        <w:tc>
          <w:tcPr>
            <w:tcW w:w="4200" w:type="dxa"/>
            <w:vAlign w:val="bottom"/>
            <w:gridSpan w:val="6"/>
          </w:tcPr>
          <w:p>
            <w:pPr>
              <w:jc w:val="center"/>
              <w:ind w:right="2080"/>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3060" w:type="dxa"/>
            <w:vAlign w:val="bottom"/>
            <w:gridSpan w:val="3"/>
          </w:tcPr>
          <w:p>
            <w:pPr>
              <w:jc w:val="center"/>
              <w:ind w:left="1780"/>
              <w:spacing w:after="0"/>
              <w:rPr>
                <w:sz w:val="20"/>
                <w:szCs w:val="20"/>
                <w:color w:val="auto"/>
              </w:rPr>
            </w:pPr>
            <w:r>
              <w:rPr>
                <w:rFonts w:ascii="Times New Roman" w:cs="Times New Roman" w:eastAsia="Times New Roman" w:hAnsi="Times New Roman"/>
                <w:sz w:val="16"/>
                <w:szCs w:val="16"/>
                <w:b w:val="1"/>
                <w:bCs w:val="1"/>
                <w:color w:val="auto"/>
                <w:w w:val="98"/>
              </w:rPr>
              <w:t>98-1833921</w:t>
            </w:r>
          </w:p>
        </w:tc>
      </w:tr>
      <w:tr>
        <w:trPr>
          <w:trHeight w:val="166"/>
        </w:trPr>
        <w:tc>
          <w:tcPr>
            <w:tcW w:w="220" w:type="dxa"/>
            <w:vAlign w:val="bottom"/>
          </w:tcPr>
          <w:p>
            <w:pPr>
              <w:spacing w:after="0"/>
              <w:rPr>
                <w:sz w:val="14"/>
                <w:szCs w:val="14"/>
                <w:color w:val="auto"/>
              </w:rPr>
            </w:pPr>
          </w:p>
        </w:tc>
        <w:tc>
          <w:tcPr>
            <w:tcW w:w="4200" w:type="dxa"/>
            <w:vAlign w:val="bottom"/>
            <w:gridSpan w:val="6"/>
          </w:tcPr>
          <w:p>
            <w:pPr>
              <w:jc w:val="center"/>
              <w:ind w:right="2080"/>
              <w:spacing w:after="0" w:line="167"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3060" w:type="dxa"/>
            <w:vAlign w:val="bottom"/>
            <w:gridSpan w:val="3"/>
          </w:tcPr>
          <w:p>
            <w:pPr>
              <w:jc w:val="center"/>
              <w:ind w:left="1760"/>
              <w:spacing w:after="0" w:line="167" w:lineRule="exact"/>
              <w:rPr>
                <w:sz w:val="20"/>
                <w:szCs w:val="20"/>
                <w:color w:val="auto"/>
              </w:rPr>
            </w:pPr>
            <w:r>
              <w:rPr>
                <w:rFonts w:ascii="Times New Roman" w:cs="Times New Roman" w:eastAsia="Times New Roman" w:hAnsi="Times New Roman"/>
                <w:sz w:val="16"/>
                <w:szCs w:val="16"/>
                <w:color w:val="auto"/>
              </w:rPr>
              <w:t>(IRS Employer</w:t>
            </w:r>
          </w:p>
        </w:tc>
      </w:tr>
      <w:tr>
        <w:trPr>
          <w:trHeight w:val="209"/>
        </w:trPr>
        <w:tc>
          <w:tcPr>
            <w:tcW w:w="220" w:type="dxa"/>
            <w:vAlign w:val="bottom"/>
          </w:tcPr>
          <w:p>
            <w:pPr>
              <w:spacing w:after="0"/>
              <w:rPr>
                <w:sz w:val="18"/>
                <w:szCs w:val="18"/>
                <w:color w:val="auto"/>
              </w:rPr>
            </w:pPr>
          </w:p>
        </w:tc>
        <w:tc>
          <w:tcPr>
            <w:tcW w:w="4200" w:type="dxa"/>
            <w:vAlign w:val="bottom"/>
            <w:gridSpan w:val="6"/>
          </w:tcPr>
          <w:p>
            <w:pPr>
              <w:jc w:val="center"/>
              <w:ind w:right="20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060" w:type="dxa"/>
            <w:vAlign w:val="bottom"/>
            <w:gridSpan w:val="3"/>
          </w:tcPr>
          <w:p>
            <w:pPr>
              <w:jc w:val="center"/>
              <w:ind w:left="1780"/>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179"/>
        </w:trPr>
        <w:tc>
          <w:tcPr>
            <w:tcW w:w="4420" w:type="dxa"/>
            <w:vAlign w:val="bottom"/>
            <w:gridSpan w:val="7"/>
          </w:tcPr>
          <w:p>
            <w:pPr>
              <w:jc w:val="center"/>
              <w:ind w:right="1860"/>
              <w:spacing w:after="0" w:line="180" w:lineRule="exact"/>
              <w:rPr>
                <w:sz w:val="20"/>
                <w:szCs w:val="20"/>
                <w:color w:val="auto"/>
              </w:rPr>
            </w:pPr>
            <w:r>
              <w:rPr>
                <w:rFonts w:ascii="Times New Roman" w:cs="Times New Roman" w:eastAsia="Times New Roman" w:hAnsi="Times New Roman"/>
                <w:sz w:val="16"/>
                <w:szCs w:val="16"/>
                <w:color w:val="auto"/>
                <w:w w:val="99"/>
              </w:rPr>
              <w:t>11 Bermudiana Road, Suite 1141</w:t>
            </w:r>
          </w:p>
        </w:tc>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94"/>
        </w:trPr>
        <w:tc>
          <w:tcPr>
            <w:tcW w:w="220" w:type="dxa"/>
            <w:vAlign w:val="bottom"/>
          </w:tcPr>
          <w:p>
            <w:pPr>
              <w:spacing w:after="0"/>
              <w:rPr>
                <w:sz w:val="16"/>
                <w:szCs w:val="16"/>
                <w:color w:val="auto"/>
              </w:rPr>
            </w:pPr>
          </w:p>
        </w:tc>
        <w:tc>
          <w:tcPr>
            <w:tcW w:w="21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color w:val="auto"/>
                <w:w w:val="99"/>
              </w:rPr>
              <w:t>Hamilton</w:t>
            </w:r>
          </w:p>
        </w:tc>
        <w:tc>
          <w:tcPr>
            <w:tcW w:w="2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94"/>
        </w:trPr>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Bermuda</w:t>
            </w:r>
          </w:p>
        </w:tc>
        <w:tc>
          <w:tcPr>
            <w:tcW w:w="20" w:type="dxa"/>
            <w:vAlign w:val="bottom"/>
            <w:tcBorders>
              <w:top w:val="single" w:sz="8" w:color="auto"/>
            </w:tcBorders>
          </w:tcPr>
          <w:p>
            <w:pPr>
              <w:spacing w:after="0"/>
              <w:rPr>
                <w:sz w:val="16"/>
                <w:szCs w:val="16"/>
                <w:color w:val="auto"/>
              </w:rPr>
            </w:pPr>
          </w:p>
        </w:tc>
        <w:tc>
          <w:tcPr>
            <w:tcW w:w="2820" w:type="dxa"/>
            <w:vAlign w:val="bottom"/>
            <w:gridSpan w:val="2"/>
          </w:tcPr>
          <w:p>
            <w:pPr>
              <w:spacing w:after="0"/>
              <w:rPr>
                <w:sz w:val="16"/>
                <w:szCs w:val="16"/>
                <w:color w:val="auto"/>
              </w:rPr>
            </w:pPr>
          </w:p>
        </w:tc>
        <w:tc>
          <w:tcPr>
            <w:tcW w:w="2220" w:type="dxa"/>
            <w:vAlign w:val="bottom"/>
          </w:tcPr>
          <w:p>
            <w:pPr>
              <w:spacing w:after="0"/>
              <w:rPr>
                <w:sz w:val="16"/>
                <w:szCs w:val="16"/>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color w:val="auto"/>
              </w:rPr>
              <w:t>HM 08</w:t>
            </w:r>
          </w:p>
        </w:tc>
      </w:tr>
      <w:tr>
        <w:trPr>
          <w:trHeight w:val="20"/>
        </w:trPr>
        <w:tc>
          <w:tcPr>
            <w:tcW w:w="100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9"/>
        </w:trPr>
        <w:tc>
          <w:tcPr>
            <w:tcW w:w="4420" w:type="dxa"/>
            <w:vAlign w:val="bottom"/>
            <w:gridSpan w:val="7"/>
          </w:tcPr>
          <w:p>
            <w:pPr>
              <w:jc w:val="center"/>
              <w:ind w:right="18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60" w:type="dxa"/>
            <w:vAlign w:val="bottom"/>
            <w:gridSpan w:val="3"/>
          </w:tcPr>
          <w:p>
            <w:pPr>
              <w:jc w:val="center"/>
              <w:ind w:left="1780"/>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(441) 298-4900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187"/>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4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0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Common Shares, par value $0.01 per share</w:t>
            </w:r>
          </w:p>
        </w:tc>
        <w:tc>
          <w:tcPr>
            <w:tcW w:w="1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KG</w:t>
            </w:r>
          </w:p>
        </w:tc>
        <w:tc>
          <w:tcPr>
            <w:tcW w:w="12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192"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w:t>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33" w:lineRule="exact"/>
        <w:rPr>
          <w:sz w:val="24"/>
          <w:szCs w:val="24"/>
          <w:color w:val="auto"/>
        </w:rPr>
      </w:pPr>
    </w:p>
    <w:p>
      <w:pPr>
        <w:jc w:val="both"/>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80" w:type="dxa"/>
            <w:vAlign w:val="bottom"/>
          </w:tcPr>
          <w:p>
            <w:pPr>
              <w:ind w:left="26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Securities Exchange Act).</w:t>
      </w:r>
    </w:p>
    <w:p>
      <w:pPr>
        <w:spacing w:after="0" w:line="79" w:lineRule="exact"/>
        <w:rPr>
          <w:sz w:val="24"/>
          <w:szCs w:val="24"/>
          <w:color w:val="auto"/>
        </w:rPr>
      </w:pPr>
    </w:p>
    <w:p>
      <w:pPr>
        <w:spacing w:after="0" w:line="184" w:lineRule="exact"/>
        <w:tabs>
          <w:tab w:leader="none" w:pos="5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6"/>
          <w:szCs w:val="16"/>
          <w:color w:val="auto"/>
        </w:rPr>
        <w:t>☒</w:t>
      </w:r>
    </w:p>
    <w:p>
      <w:pPr>
        <w:spacing w:after="0" w:line="183"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August 12, 2025, 7,741,943 common shares were outstanding. 9,979,476 common shares, par value $0.01 per share, were outstanding when the ownership by our affiliate Maiden Reinsurance Ltd. of 2,237,533 common shares were included. These affiliated shares are treated as treasury shares and are not included in the computation of consolidated book value and earnings per common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589280</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80" w:type="dxa"/>
            <w:vAlign w:val="bottom"/>
            <w:gridSpan w:val="9"/>
          </w:tcPr>
          <w:p>
            <w:pPr>
              <w:ind w:left="19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100" w:type="dxa"/>
            <w:vAlign w:val="bottom"/>
            <w:tcBorders>
              <w:bottom w:val="single" w:sz="8" w:color="CDFFCC"/>
            </w:tcBorders>
          </w:tcPr>
          <w:p>
            <w:pPr>
              <w:spacing w:after="0"/>
              <w:rPr>
                <w:sz w:val="24"/>
                <w:szCs w:val="24"/>
                <w:color w:val="auto"/>
              </w:rPr>
            </w:pPr>
          </w:p>
        </w:tc>
        <w:tc>
          <w:tcPr>
            <w:tcW w:w="460" w:type="dxa"/>
            <w:vAlign w:val="bottom"/>
            <w:tcBorders>
              <w:bottom w:val="single" w:sz="8" w:color="CDFFCC"/>
            </w:tcBorders>
          </w:tcPr>
          <w:p>
            <w:pPr>
              <w:spacing w:after="0"/>
              <w:rPr>
                <w:sz w:val="24"/>
                <w:szCs w:val="24"/>
                <w:color w:val="auto"/>
              </w:rPr>
            </w:pPr>
          </w:p>
        </w:tc>
        <w:tc>
          <w:tcPr>
            <w:tcW w:w="40" w:type="dxa"/>
            <w:vAlign w:val="bottom"/>
            <w:tcBorders>
              <w:bottom w:val="single" w:sz="8" w:color="CDFFCC"/>
            </w:tcBorders>
          </w:tcPr>
          <w:p>
            <w:pPr>
              <w:spacing w:after="0"/>
              <w:rPr>
                <w:sz w:val="24"/>
                <w:szCs w:val="24"/>
                <w:color w:val="auto"/>
              </w:rPr>
            </w:pPr>
          </w:p>
        </w:tc>
        <w:tc>
          <w:tcPr>
            <w:tcW w:w="140" w:type="dxa"/>
            <w:vAlign w:val="bottom"/>
            <w:tcBorders>
              <w:bottom w:val="single" w:sz="8" w:color="CDFFCC"/>
            </w:tcBorders>
          </w:tcPr>
          <w:p>
            <w:pPr>
              <w:spacing w:after="0"/>
              <w:rPr>
                <w:sz w:val="24"/>
                <w:szCs w:val="24"/>
                <w:color w:val="auto"/>
              </w:rPr>
            </w:pPr>
          </w:p>
        </w:tc>
        <w:tc>
          <w:tcPr>
            <w:tcW w:w="320" w:type="dxa"/>
            <w:vAlign w:val="bottom"/>
            <w:tcBorders>
              <w:bottom w:val="single" w:sz="8" w:color="CDFFCC"/>
            </w:tcBorders>
          </w:tcPr>
          <w:p>
            <w:pPr>
              <w:spacing w:after="0"/>
              <w:rPr>
                <w:sz w:val="24"/>
                <w:szCs w:val="24"/>
                <w:color w:val="auto"/>
              </w:rPr>
            </w:pPr>
          </w:p>
        </w:tc>
        <w:tc>
          <w:tcPr>
            <w:tcW w:w="600" w:type="dxa"/>
            <w:vAlign w:val="bottom"/>
            <w:tcBorders>
              <w:bottom w:val="single" w:sz="8" w:color="CDFFCC"/>
            </w:tcBorders>
          </w:tcPr>
          <w:p>
            <w:pPr>
              <w:spacing w:after="0"/>
              <w:rPr>
                <w:sz w:val="24"/>
                <w:szCs w:val="24"/>
                <w:color w:val="auto"/>
              </w:rPr>
            </w:pPr>
          </w:p>
        </w:tc>
        <w:tc>
          <w:tcPr>
            <w:tcW w:w="160" w:type="dxa"/>
            <w:vAlign w:val="bottom"/>
            <w:tcBorders>
              <w:bottom w:val="single" w:sz="8" w:color="CDFFCC"/>
            </w:tcBorders>
          </w:tcPr>
          <w:p>
            <w:pPr>
              <w:spacing w:after="0"/>
              <w:rPr>
                <w:sz w:val="24"/>
                <w:szCs w:val="24"/>
                <w:color w:val="auto"/>
              </w:rPr>
            </w:pPr>
          </w:p>
        </w:tc>
        <w:tc>
          <w:tcPr>
            <w:tcW w:w="60" w:type="dxa"/>
            <w:vAlign w:val="bottom"/>
            <w:tcBorders>
              <w:bottom w:val="single" w:sz="8" w:color="CDFFCC"/>
            </w:tcBorders>
          </w:tcPr>
          <w:p>
            <w:pPr>
              <w:spacing w:after="0"/>
              <w:rPr>
                <w:sz w:val="24"/>
                <w:szCs w:val="24"/>
                <w:color w:val="auto"/>
              </w:rPr>
            </w:pPr>
          </w:p>
        </w:tc>
        <w:tc>
          <w:tcPr>
            <w:tcW w:w="80" w:type="dxa"/>
            <w:vAlign w:val="bottom"/>
            <w:tcBorders>
              <w:bottom w:val="single" w:sz="8" w:color="CDFFCC"/>
            </w:tcBorders>
          </w:tcPr>
          <w:p>
            <w:pPr>
              <w:spacing w:after="0"/>
              <w:rPr>
                <w:sz w:val="24"/>
                <w:szCs w:val="24"/>
                <w:color w:val="auto"/>
              </w:rPr>
            </w:pPr>
          </w:p>
        </w:tc>
        <w:tc>
          <w:tcPr>
            <w:tcW w:w="320" w:type="dxa"/>
            <w:vAlign w:val="bottom"/>
            <w:tcBorders>
              <w:bottom w:val="single" w:sz="8" w:color="CDFFCC"/>
            </w:tcBorders>
          </w:tcPr>
          <w:p>
            <w:pPr>
              <w:spacing w:after="0"/>
              <w:rPr>
                <w:sz w:val="24"/>
                <w:szCs w:val="24"/>
                <w:color w:val="auto"/>
              </w:rPr>
            </w:pPr>
          </w:p>
        </w:tc>
        <w:tc>
          <w:tcPr>
            <w:tcW w:w="80" w:type="dxa"/>
            <w:vAlign w:val="bottom"/>
            <w:tcBorders>
              <w:bottom w:val="single" w:sz="8" w:color="CDFFCC"/>
            </w:tcBorders>
          </w:tcPr>
          <w:p>
            <w:pPr>
              <w:spacing w:after="0"/>
              <w:rPr>
                <w:sz w:val="24"/>
                <w:szCs w:val="24"/>
                <w:color w:val="auto"/>
              </w:rPr>
            </w:pPr>
          </w:p>
        </w:tc>
        <w:tc>
          <w:tcPr>
            <w:tcW w:w="20" w:type="dxa"/>
            <w:vAlign w:val="bottom"/>
            <w:tcBorders>
              <w:bottom w:val="single" w:sz="8" w:color="CDFFCC"/>
            </w:tcBorders>
          </w:tcPr>
          <w:p>
            <w:pPr>
              <w:spacing w:after="0"/>
              <w:rPr>
                <w:sz w:val="24"/>
                <w:szCs w:val="24"/>
                <w:color w:val="auto"/>
              </w:rPr>
            </w:pPr>
          </w:p>
        </w:tc>
        <w:tc>
          <w:tcPr>
            <w:tcW w:w="180" w:type="dxa"/>
            <w:vAlign w:val="bottom"/>
            <w:tcBorders>
              <w:bottom w:val="single" w:sz="8" w:color="CDFFCC"/>
            </w:tcBorders>
          </w:tcPr>
          <w:p>
            <w:pPr>
              <w:spacing w:after="0"/>
              <w:rPr>
                <w:sz w:val="24"/>
                <w:szCs w:val="24"/>
                <w:color w:val="auto"/>
              </w:rPr>
            </w:pPr>
          </w:p>
        </w:tc>
        <w:tc>
          <w:tcPr>
            <w:tcW w:w="260" w:type="dxa"/>
            <w:vAlign w:val="bottom"/>
            <w:tcBorders>
              <w:bottom w:val="single" w:sz="8" w:color="CDFFCC"/>
            </w:tcBorders>
          </w:tcPr>
          <w:p>
            <w:pPr>
              <w:spacing w:after="0"/>
              <w:rPr>
                <w:sz w:val="24"/>
                <w:szCs w:val="24"/>
                <w:color w:val="auto"/>
              </w:rPr>
            </w:pPr>
          </w:p>
        </w:tc>
        <w:tc>
          <w:tcPr>
            <w:tcW w:w="560" w:type="dxa"/>
            <w:vAlign w:val="bottom"/>
            <w:tcBorders>
              <w:bottom w:val="single" w:sz="8" w:color="CDFFCC"/>
            </w:tcBorders>
          </w:tcPr>
          <w:p>
            <w:pPr>
              <w:spacing w:after="0"/>
              <w:rPr>
                <w:sz w:val="24"/>
                <w:szCs w:val="24"/>
                <w:color w:val="auto"/>
              </w:rPr>
            </w:pPr>
          </w:p>
        </w:tc>
        <w:tc>
          <w:tcPr>
            <w:tcW w:w="2000" w:type="dxa"/>
            <w:vAlign w:val="bottom"/>
            <w:tcBorders>
              <w:bottom w:val="single" w:sz="8" w:color="CDFFCC"/>
            </w:tcBorders>
          </w:tcPr>
          <w:p>
            <w:pPr>
              <w:spacing w:after="0"/>
              <w:rPr>
                <w:sz w:val="24"/>
                <w:szCs w:val="24"/>
                <w:color w:val="auto"/>
              </w:rPr>
            </w:pPr>
          </w:p>
        </w:tc>
        <w:tc>
          <w:tcPr>
            <w:tcW w:w="520" w:type="dxa"/>
            <w:vAlign w:val="bottom"/>
            <w:tcBorders>
              <w:bottom w:val="single" w:sz="8" w:color="CDFFCC"/>
            </w:tcBorders>
          </w:tcPr>
          <w:p>
            <w:pPr>
              <w:spacing w:after="0"/>
              <w:rPr>
                <w:sz w:val="24"/>
                <w:szCs w:val="24"/>
                <w:color w:val="auto"/>
              </w:rPr>
            </w:pPr>
          </w:p>
        </w:tc>
        <w:tc>
          <w:tcPr>
            <w:tcW w:w="1560" w:type="dxa"/>
            <w:vAlign w:val="bottom"/>
            <w:tcBorders>
              <w:bottom w:val="single" w:sz="8" w:color="CDFFCC"/>
            </w:tcBorders>
          </w:tcPr>
          <w:p>
            <w:pPr>
              <w:spacing w:after="0"/>
              <w:rPr>
                <w:sz w:val="24"/>
                <w:szCs w:val="24"/>
                <w:color w:val="auto"/>
              </w:rPr>
            </w:pPr>
          </w:p>
        </w:tc>
        <w:tc>
          <w:tcPr>
            <w:tcW w:w="1260" w:type="dxa"/>
            <w:vAlign w:val="bottom"/>
            <w:tcBorders>
              <w:bottom w:val="single" w:sz="8" w:color="CDFFCC"/>
            </w:tcBorders>
          </w:tcPr>
          <w:p>
            <w:pPr>
              <w:spacing w:after="0"/>
              <w:rPr>
                <w:sz w:val="24"/>
                <w:szCs w:val="24"/>
                <w:color w:val="auto"/>
              </w:rPr>
            </w:pPr>
          </w:p>
        </w:tc>
        <w:tc>
          <w:tcPr>
            <w:tcW w:w="540" w:type="dxa"/>
            <w:vAlign w:val="bottom"/>
            <w:tcBorders>
              <w:bottom w:val="single" w:sz="8" w:color="CDFFCC"/>
            </w:tcBorders>
          </w:tcPr>
          <w:p>
            <w:pPr>
              <w:spacing w:after="0"/>
              <w:rPr>
                <w:sz w:val="24"/>
                <w:szCs w:val="24"/>
                <w:color w:val="auto"/>
              </w:rPr>
            </w:pPr>
          </w:p>
        </w:tc>
        <w:tc>
          <w:tcPr>
            <w:tcW w:w="460" w:type="dxa"/>
            <w:vAlign w:val="bottom"/>
            <w:tcBorders>
              <w:bottom w:val="single" w:sz="8" w:color="CDFFCC"/>
            </w:tcBorders>
          </w:tcPr>
          <w:p>
            <w:pPr>
              <w:spacing w:after="0"/>
              <w:rPr>
                <w:sz w:val="24"/>
                <w:szCs w:val="24"/>
                <w:color w:val="auto"/>
              </w:rPr>
            </w:pPr>
          </w:p>
        </w:tc>
        <w:tc>
          <w:tcPr>
            <w:tcW w:w="800" w:type="dxa"/>
            <w:vAlign w:val="bottom"/>
            <w:tcBorders>
              <w:bottom w:val="single" w:sz="8" w:color="CDFFCC"/>
            </w:tcBorders>
          </w:tcPr>
          <w:p>
            <w:pPr>
              <w:spacing w:after="0"/>
              <w:rPr>
                <w:sz w:val="24"/>
                <w:szCs w:val="24"/>
                <w:color w:val="auto"/>
              </w:rPr>
            </w:pPr>
          </w:p>
        </w:tc>
        <w:tc>
          <w:tcPr>
            <w:tcW w:w="20" w:type="dxa"/>
            <w:vAlign w:val="bottom"/>
            <w:tcBorders>
              <w:bottom w:val="single" w:sz="8" w:color="CDFFCC"/>
            </w:tcBorders>
          </w:tcPr>
          <w:p>
            <w:pPr>
              <w:spacing w:after="0"/>
              <w:rPr>
                <w:sz w:val="24"/>
                <w:szCs w:val="24"/>
                <w:color w:val="auto"/>
              </w:rPr>
            </w:pPr>
          </w:p>
        </w:tc>
        <w:tc>
          <w:tcPr>
            <w:tcW w:w="20" w:type="dxa"/>
            <w:vAlign w:val="bottom"/>
            <w:tcBorders>
              <w:bottom w:val="single" w:sz="8" w:color="CDFFCC"/>
            </w:tcBorders>
          </w:tcPr>
          <w:p>
            <w:pPr>
              <w:spacing w:after="0"/>
              <w:rPr>
                <w:sz w:val="24"/>
                <w:szCs w:val="24"/>
                <w:color w:val="auto"/>
              </w:rPr>
            </w:pPr>
          </w:p>
        </w:tc>
        <w:tc>
          <w:tcPr>
            <w:tcW w:w="64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8"/>
        </w:trPr>
        <w:tc>
          <w:tcPr>
            <w:tcW w:w="10560" w:type="dxa"/>
            <w:vAlign w:val="bottom"/>
            <w:gridSpan w:val="24"/>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80" w:type="dxa"/>
            <w:vAlign w:val="bottom"/>
            <w:shd w:val="clear" w:color="auto" w:fill="CDFFCC"/>
          </w:tcPr>
          <w:p>
            <w:pPr>
              <w:spacing w:after="0"/>
              <w:rPr>
                <w:sz w:val="18"/>
                <w:szCs w:val="18"/>
                <w:color w:val="auto"/>
              </w:rPr>
            </w:pPr>
          </w:p>
        </w:tc>
        <w:tc>
          <w:tcPr>
            <w:tcW w:w="40" w:type="dxa"/>
            <w:vAlign w:val="bottom"/>
            <w:shd w:val="clear" w:color="auto" w:fill="CDFFCC"/>
          </w:tcPr>
          <w:p>
            <w:pPr>
              <w:spacing w:after="0"/>
              <w:rPr>
                <w:sz w:val="18"/>
                <w:szCs w:val="18"/>
                <w:color w:val="auto"/>
              </w:rPr>
            </w:pPr>
          </w:p>
        </w:tc>
        <w:tc>
          <w:tcPr>
            <w:tcW w:w="60" w:type="dxa"/>
            <w:vAlign w:val="bottom"/>
            <w:shd w:val="clear" w:color="auto" w:fill="CDFFCC"/>
          </w:tcPr>
          <w:p>
            <w:pPr>
              <w:spacing w:after="0"/>
              <w:rPr>
                <w:sz w:val="18"/>
                <w:szCs w:val="18"/>
                <w:color w:val="auto"/>
              </w:rPr>
            </w:pPr>
          </w:p>
        </w:tc>
        <w:tc>
          <w:tcPr>
            <w:tcW w:w="80" w:type="dxa"/>
            <w:vAlign w:val="bottom"/>
            <w:shd w:val="clear" w:color="auto" w:fill="CDFFCC"/>
          </w:tcPr>
          <w:p>
            <w:pPr>
              <w:spacing w:after="0"/>
              <w:rPr>
                <w:sz w:val="18"/>
                <w:szCs w:val="18"/>
                <w:color w:val="auto"/>
              </w:rPr>
            </w:pPr>
          </w:p>
        </w:tc>
        <w:tc>
          <w:tcPr>
            <w:tcW w:w="40" w:type="dxa"/>
            <w:vAlign w:val="bottom"/>
            <w:shd w:val="clear" w:color="auto" w:fill="CDFFCC"/>
          </w:tcPr>
          <w:p>
            <w:pPr>
              <w:spacing w:after="0"/>
              <w:rPr>
                <w:sz w:val="18"/>
                <w:szCs w:val="18"/>
                <w:color w:val="auto"/>
              </w:rPr>
            </w:pPr>
          </w:p>
        </w:tc>
        <w:tc>
          <w:tcPr>
            <w:tcW w:w="60" w:type="dxa"/>
            <w:vAlign w:val="bottom"/>
            <w:shd w:val="clear" w:color="auto" w:fill="CDFFCC"/>
          </w:tcPr>
          <w:p>
            <w:pPr>
              <w:spacing w:after="0"/>
              <w:rPr>
                <w:sz w:val="18"/>
                <w:szCs w:val="18"/>
                <w:color w:val="auto"/>
              </w:rPr>
            </w:pPr>
          </w:p>
        </w:tc>
        <w:tc>
          <w:tcPr>
            <w:tcW w:w="180" w:type="dxa"/>
            <w:vAlign w:val="bottom"/>
            <w:shd w:val="clear" w:color="auto" w:fill="CDFFC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Financial Statements</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Balance Sheets as of June 30, 2025 (unaudited) and December 31, 2024 (audited)</w:t>
            </w:r>
          </w:p>
        </w:tc>
        <w:tc>
          <w:tcPr>
            <w:tcW w:w="400" w:type="dxa"/>
            <w:vAlign w:val="bottom"/>
            <w:gridSpan w:val="5"/>
          </w:tcPr>
          <w:p>
            <w:pPr>
              <w:jc w:val="center"/>
              <w:ind w:left="151"/>
              <w:spacing w:after="0" w:line="188" w:lineRule="exact"/>
              <w:rPr>
                <w:sz w:val="20"/>
                <w:szCs w:val="20"/>
                <w:color w:val="auto"/>
              </w:rPr>
            </w:pPr>
            <w:r>
              <w:rPr>
                <w:rFonts w:ascii="Times New Roman" w:cs="Times New Roman" w:eastAsia="Times New Roman" w:hAnsi="Times New Roman"/>
                <w:sz w:val="18"/>
                <w:szCs w:val="18"/>
                <w:color w:val="0000FF"/>
                <w:w w:val="88"/>
              </w:rPr>
              <w:t>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 June 30, 2025 and 2024 (unaudited)</w:t>
            </w:r>
          </w:p>
        </w:tc>
        <w:tc>
          <w:tcPr>
            <w:tcW w:w="400" w:type="dxa"/>
            <w:vAlign w:val="bottom"/>
            <w:gridSpan w:val="5"/>
          </w:tcPr>
          <w:p>
            <w:pPr>
              <w:jc w:val="center"/>
              <w:ind w:left="151"/>
              <w:spacing w:after="0" w:line="188" w:lineRule="exact"/>
              <w:rPr>
                <w:sz w:val="20"/>
                <w:szCs w:val="20"/>
                <w:color w:val="auto"/>
              </w:rPr>
            </w:pPr>
            <w:r>
              <w:rPr>
                <w:rFonts w:ascii="Times New Roman" w:cs="Times New Roman" w:eastAsia="Times New Roman" w:hAnsi="Times New Roman"/>
                <w:sz w:val="18"/>
                <w:szCs w:val="18"/>
                <w:color w:val="0000FF"/>
                <w:w w:val="88"/>
              </w:rPr>
              <w:t>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2024</w:t>
            </w:r>
          </w:p>
        </w:tc>
        <w:tc>
          <w:tcPr>
            <w:tcW w:w="400" w:type="dxa"/>
            <w:vAlign w:val="bottom"/>
            <w:gridSpan w:val="5"/>
            <w:vMerge w:val="restart"/>
          </w:tcPr>
          <w:p>
            <w:pPr>
              <w:jc w:val="center"/>
              <w:ind w:left="151"/>
              <w:spacing w:after="0"/>
              <w:rPr>
                <w:sz w:val="20"/>
                <w:szCs w:val="20"/>
                <w:color w:val="auto"/>
              </w:rPr>
            </w:pPr>
            <w:r>
              <w:rPr>
                <w:rFonts w:ascii="Times New Roman" w:cs="Times New Roman" w:eastAsia="Times New Roman" w:hAnsi="Times New Roman"/>
                <w:sz w:val="18"/>
                <w:szCs w:val="18"/>
                <w:color w:val="0000FF"/>
                <w:w w:val="88"/>
              </w:rPr>
              <w:t>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80" w:type="dxa"/>
            <w:vAlign w:val="bottom"/>
            <w:tcBorders>
              <w:top w:val="single" w:sz="8" w:color="0000FF"/>
            </w:tcBorders>
            <w:gridSpan w:val="18"/>
          </w:tcPr>
          <w:p>
            <w:pPr>
              <w:spacing w:after="0" w:line="141" w:lineRule="exact"/>
              <w:rPr>
                <w:sz w:val="20"/>
                <w:szCs w:val="20"/>
                <w:color w:val="auto"/>
              </w:rPr>
            </w:pPr>
            <w:r>
              <w:rPr>
                <w:rFonts w:ascii="Times New Roman" w:cs="Times New Roman" w:eastAsia="Times New Roman" w:hAnsi="Times New Roman"/>
                <w:sz w:val="16"/>
                <w:szCs w:val="16"/>
                <w:color w:val="0000FF"/>
              </w:rPr>
              <w:t>(unaudited)</w:t>
            </w:r>
          </w:p>
        </w:tc>
        <w:tc>
          <w:tcPr>
            <w:tcW w:w="20" w:type="dxa"/>
            <w:vAlign w:val="bottom"/>
          </w:tcPr>
          <w:p>
            <w:pPr>
              <w:spacing w:after="0"/>
              <w:rPr>
                <w:sz w:val="15"/>
                <w:szCs w:val="15"/>
                <w:color w:val="auto"/>
              </w:rPr>
            </w:pPr>
          </w:p>
        </w:tc>
        <w:tc>
          <w:tcPr>
            <w:tcW w:w="40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0" w:type="dxa"/>
            <w:vAlign w:val="bottom"/>
            <w:shd w:val="clear" w:color="auto" w:fill="CDFFCC"/>
          </w:tcPr>
          <w:p>
            <w:pPr>
              <w:spacing w:after="0"/>
              <w:rPr>
                <w:sz w:val="23"/>
                <w:szCs w:val="23"/>
                <w:color w:val="auto"/>
              </w:rPr>
            </w:pPr>
          </w:p>
        </w:tc>
        <w:tc>
          <w:tcPr>
            <w:tcW w:w="460" w:type="dxa"/>
            <w:vAlign w:val="bottom"/>
            <w:shd w:val="clear" w:color="auto" w:fill="CDFFCC"/>
          </w:tcPr>
          <w:p>
            <w:pPr>
              <w:spacing w:after="0"/>
              <w:rPr>
                <w:sz w:val="23"/>
                <w:szCs w:val="23"/>
                <w:color w:val="auto"/>
              </w:rPr>
            </w:pPr>
          </w:p>
        </w:tc>
        <w:tc>
          <w:tcPr>
            <w:tcW w:w="40" w:type="dxa"/>
            <w:vAlign w:val="bottom"/>
            <w:shd w:val="clear" w:color="auto" w:fill="CDFFCC"/>
          </w:tcPr>
          <w:p>
            <w:pPr>
              <w:spacing w:after="0"/>
              <w:rPr>
                <w:sz w:val="23"/>
                <w:szCs w:val="23"/>
                <w:color w:val="auto"/>
              </w:rPr>
            </w:pPr>
          </w:p>
        </w:tc>
        <w:tc>
          <w:tcPr>
            <w:tcW w:w="140" w:type="dxa"/>
            <w:vAlign w:val="bottom"/>
            <w:shd w:val="clear" w:color="auto" w:fill="CDFFCC"/>
          </w:tcPr>
          <w:p>
            <w:pPr>
              <w:spacing w:after="0"/>
              <w:rPr>
                <w:sz w:val="23"/>
                <w:szCs w:val="23"/>
                <w:color w:val="auto"/>
              </w:rPr>
            </w:pPr>
          </w:p>
        </w:tc>
        <w:tc>
          <w:tcPr>
            <w:tcW w:w="320" w:type="dxa"/>
            <w:vAlign w:val="bottom"/>
            <w:shd w:val="clear" w:color="auto" w:fill="CDFFCC"/>
          </w:tcPr>
          <w:p>
            <w:pPr>
              <w:spacing w:after="0"/>
              <w:rPr>
                <w:sz w:val="23"/>
                <w:szCs w:val="23"/>
                <w:color w:val="auto"/>
              </w:rPr>
            </w:pPr>
          </w:p>
        </w:tc>
        <w:tc>
          <w:tcPr>
            <w:tcW w:w="600" w:type="dxa"/>
            <w:vAlign w:val="bottom"/>
            <w:tcBorders>
              <w:top w:val="single" w:sz="8" w:color="0000FF"/>
            </w:tcBorders>
            <w:shd w:val="clear" w:color="auto" w:fill="CDFFCC"/>
          </w:tcPr>
          <w:p>
            <w:pPr>
              <w:spacing w:after="0"/>
              <w:rPr>
                <w:sz w:val="23"/>
                <w:szCs w:val="23"/>
                <w:color w:val="auto"/>
              </w:rPr>
            </w:pPr>
          </w:p>
        </w:tc>
        <w:tc>
          <w:tcPr>
            <w:tcW w:w="160" w:type="dxa"/>
            <w:vAlign w:val="bottom"/>
            <w:tcBorders>
              <w:top w:val="single" w:sz="8" w:color="0000FF"/>
            </w:tcBorders>
            <w:shd w:val="clear" w:color="auto" w:fill="CDFFCC"/>
          </w:tcPr>
          <w:p>
            <w:pPr>
              <w:spacing w:after="0"/>
              <w:rPr>
                <w:sz w:val="23"/>
                <w:szCs w:val="23"/>
                <w:color w:val="auto"/>
              </w:rPr>
            </w:pPr>
          </w:p>
        </w:tc>
        <w:tc>
          <w:tcPr>
            <w:tcW w:w="60" w:type="dxa"/>
            <w:vAlign w:val="bottom"/>
            <w:tcBorders>
              <w:top w:val="single" w:sz="8" w:color="0000FF"/>
            </w:tcBorders>
            <w:shd w:val="clear" w:color="auto" w:fill="CDFFCC"/>
          </w:tcPr>
          <w:p>
            <w:pPr>
              <w:spacing w:after="0"/>
              <w:rPr>
                <w:sz w:val="23"/>
                <w:szCs w:val="23"/>
                <w:color w:val="auto"/>
              </w:rPr>
            </w:pPr>
          </w:p>
        </w:tc>
        <w:tc>
          <w:tcPr>
            <w:tcW w:w="80" w:type="dxa"/>
            <w:vAlign w:val="bottom"/>
            <w:shd w:val="clear" w:color="auto" w:fill="CDFFCC"/>
          </w:tcPr>
          <w:p>
            <w:pPr>
              <w:spacing w:after="0"/>
              <w:rPr>
                <w:sz w:val="23"/>
                <w:szCs w:val="23"/>
                <w:color w:val="auto"/>
              </w:rPr>
            </w:pPr>
          </w:p>
        </w:tc>
        <w:tc>
          <w:tcPr>
            <w:tcW w:w="320" w:type="dxa"/>
            <w:vAlign w:val="bottom"/>
            <w:shd w:val="clear" w:color="auto" w:fill="CDFFCC"/>
          </w:tcPr>
          <w:p>
            <w:pPr>
              <w:spacing w:after="0"/>
              <w:rPr>
                <w:sz w:val="23"/>
                <w:szCs w:val="23"/>
                <w:color w:val="auto"/>
              </w:rPr>
            </w:pPr>
          </w:p>
        </w:tc>
        <w:tc>
          <w:tcPr>
            <w:tcW w:w="80" w:type="dxa"/>
            <w:vAlign w:val="bottom"/>
            <w:shd w:val="clear" w:color="auto" w:fill="CDFFCC"/>
          </w:tcPr>
          <w:p>
            <w:pPr>
              <w:spacing w:after="0"/>
              <w:rPr>
                <w:sz w:val="23"/>
                <w:szCs w:val="23"/>
                <w:color w:val="auto"/>
              </w:rPr>
            </w:pPr>
          </w:p>
        </w:tc>
        <w:tc>
          <w:tcPr>
            <w:tcW w:w="2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260" w:type="dxa"/>
            <w:vAlign w:val="bottom"/>
            <w:shd w:val="clear" w:color="auto" w:fill="CDFFCC"/>
          </w:tcPr>
          <w:p>
            <w:pPr>
              <w:spacing w:after="0"/>
              <w:rPr>
                <w:sz w:val="23"/>
                <w:szCs w:val="23"/>
                <w:color w:val="auto"/>
              </w:rPr>
            </w:pPr>
          </w:p>
        </w:tc>
        <w:tc>
          <w:tcPr>
            <w:tcW w:w="560" w:type="dxa"/>
            <w:vAlign w:val="bottom"/>
            <w:shd w:val="clear" w:color="auto" w:fill="CDFFCC"/>
          </w:tcPr>
          <w:p>
            <w:pPr>
              <w:spacing w:after="0"/>
              <w:rPr>
                <w:sz w:val="23"/>
                <w:szCs w:val="23"/>
                <w:color w:val="auto"/>
              </w:rPr>
            </w:pPr>
          </w:p>
        </w:tc>
        <w:tc>
          <w:tcPr>
            <w:tcW w:w="2000" w:type="dxa"/>
            <w:vAlign w:val="bottom"/>
            <w:shd w:val="clear" w:color="auto" w:fill="CDFFCC"/>
          </w:tcPr>
          <w:p>
            <w:pPr>
              <w:spacing w:after="0"/>
              <w:rPr>
                <w:sz w:val="23"/>
                <w:szCs w:val="23"/>
                <w:color w:val="auto"/>
              </w:rPr>
            </w:pPr>
          </w:p>
        </w:tc>
        <w:tc>
          <w:tcPr>
            <w:tcW w:w="520" w:type="dxa"/>
            <w:vAlign w:val="bottom"/>
            <w:shd w:val="clear" w:color="auto" w:fill="CDFFCC"/>
          </w:tcPr>
          <w:p>
            <w:pPr>
              <w:spacing w:after="0"/>
              <w:rPr>
                <w:sz w:val="23"/>
                <w:szCs w:val="23"/>
                <w:color w:val="auto"/>
              </w:rPr>
            </w:pPr>
          </w:p>
        </w:tc>
        <w:tc>
          <w:tcPr>
            <w:tcW w:w="1560" w:type="dxa"/>
            <w:vAlign w:val="bottom"/>
            <w:shd w:val="clear" w:color="auto" w:fill="CDFFCC"/>
          </w:tcPr>
          <w:p>
            <w:pPr>
              <w:spacing w:after="0"/>
              <w:rPr>
                <w:sz w:val="23"/>
                <w:szCs w:val="23"/>
                <w:color w:val="auto"/>
              </w:rPr>
            </w:pPr>
          </w:p>
        </w:tc>
        <w:tc>
          <w:tcPr>
            <w:tcW w:w="1260" w:type="dxa"/>
            <w:vAlign w:val="bottom"/>
            <w:shd w:val="clear" w:color="auto" w:fill="CDFFCC"/>
          </w:tcPr>
          <w:p>
            <w:pPr>
              <w:spacing w:after="0"/>
              <w:rPr>
                <w:sz w:val="23"/>
                <w:szCs w:val="23"/>
                <w:color w:val="auto"/>
              </w:rPr>
            </w:pPr>
          </w:p>
        </w:tc>
        <w:tc>
          <w:tcPr>
            <w:tcW w:w="540" w:type="dxa"/>
            <w:vAlign w:val="bottom"/>
            <w:shd w:val="clear" w:color="auto" w:fill="CDFFCC"/>
          </w:tcPr>
          <w:p>
            <w:pPr>
              <w:spacing w:after="0"/>
              <w:rPr>
                <w:sz w:val="23"/>
                <w:szCs w:val="23"/>
                <w:color w:val="auto"/>
              </w:rPr>
            </w:pPr>
          </w:p>
        </w:tc>
        <w:tc>
          <w:tcPr>
            <w:tcW w:w="460" w:type="dxa"/>
            <w:vAlign w:val="bottom"/>
            <w:shd w:val="clear" w:color="auto" w:fill="CDFFCC"/>
          </w:tcPr>
          <w:p>
            <w:pPr>
              <w:spacing w:after="0"/>
              <w:rPr>
                <w:sz w:val="23"/>
                <w:szCs w:val="23"/>
                <w:color w:val="auto"/>
              </w:rPr>
            </w:pPr>
          </w:p>
        </w:tc>
        <w:tc>
          <w:tcPr>
            <w:tcW w:w="800" w:type="dxa"/>
            <w:vAlign w:val="bottom"/>
            <w:shd w:val="clear" w:color="auto" w:fill="CDFFCC"/>
          </w:tcPr>
          <w:p>
            <w:pPr>
              <w:spacing w:after="0"/>
              <w:rPr>
                <w:sz w:val="23"/>
                <w:szCs w:val="23"/>
                <w:color w:val="auto"/>
              </w:rPr>
            </w:pPr>
          </w:p>
        </w:tc>
        <w:tc>
          <w:tcPr>
            <w:tcW w:w="20" w:type="dxa"/>
            <w:vAlign w:val="bottom"/>
            <w:shd w:val="clear" w:color="auto" w:fill="CDFFCC"/>
          </w:tcPr>
          <w:p>
            <w:pPr>
              <w:spacing w:after="0"/>
              <w:rPr>
                <w:sz w:val="23"/>
                <w:szCs w:val="23"/>
                <w:color w:val="auto"/>
              </w:rPr>
            </w:pPr>
          </w:p>
        </w:tc>
        <w:tc>
          <w:tcPr>
            <w:tcW w:w="2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40" w:type="dxa"/>
            <w:vAlign w:val="bottom"/>
            <w:shd w:val="clear" w:color="auto" w:fill="CDFFCC"/>
          </w:tcPr>
          <w:p>
            <w:pPr>
              <w:spacing w:after="0"/>
              <w:rPr>
                <w:sz w:val="23"/>
                <w:szCs w:val="23"/>
                <w:color w:val="auto"/>
              </w:rPr>
            </w:pPr>
          </w:p>
        </w:tc>
        <w:tc>
          <w:tcPr>
            <w:tcW w:w="60" w:type="dxa"/>
            <w:vAlign w:val="bottom"/>
            <w:shd w:val="clear" w:color="auto" w:fill="CDFFCC"/>
          </w:tcPr>
          <w:p>
            <w:pPr>
              <w:spacing w:after="0"/>
              <w:rPr>
                <w:sz w:val="23"/>
                <w:szCs w:val="23"/>
                <w:color w:val="auto"/>
              </w:rPr>
            </w:pPr>
          </w:p>
        </w:tc>
        <w:tc>
          <w:tcPr>
            <w:tcW w:w="80" w:type="dxa"/>
            <w:vAlign w:val="bottom"/>
            <w:tcBorders>
              <w:top w:val="single" w:sz="8" w:color="0000FF"/>
            </w:tcBorders>
            <w:shd w:val="clear" w:color="auto" w:fill="CDFFCC"/>
          </w:tcPr>
          <w:p>
            <w:pPr>
              <w:spacing w:after="0"/>
              <w:rPr>
                <w:sz w:val="23"/>
                <w:szCs w:val="23"/>
                <w:color w:val="auto"/>
              </w:rPr>
            </w:pPr>
          </w:p>
        </w:tc>
        <w:tc>
          <w:tcPr>
            <w:tcW w:w="40" w:type="dxa"/>
            <w:vAlign w:val="bottom"/>
            <w:shd w:val="clear" w:color="auto" w:fill="CDFFCC"/>
          </w:tcPr>
          <w:p>
            <w:pPr>
              <w:spacing w:after="0"/>
              <w:rPr>
                <w:sz w:val="23"/>
                <w:szCs w:val="23"/>
                <w:color w:val="auto"/>
              </w:rPr>
            </w:pPr>
          </w:p>
        </w:tc>
        <w:tc>
          <w:tcPr>
            <w:tcW w:w="6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and Six Months Ended June 30, 2025 and</w:t>
            </w:r>
          </w:p>
        </w:tc>
        <w:tc>
          <w:tcPr>
            <w:tcW w:w="400" w:type="dxa"/>
            <w:vAlign w:val="bottom"/>
            <w:gridSpan w:val="5"/>
            <w:vMerge w:val="restart"/>
          </w:tcPr>
          <w:p>
            <w:pPr>
              <w:jc w:val="center"/>
              <w:ind w:left="151"/>
              <w:spacing w:after="0"/>
              <w:rPr>
                <w:sz w:val="20"/>
                <w:szCs w:val="20"/>
                <w:color w:val="auto"/>
              </w:rPr>
            </w:pPr>
            <w:r>
              <w:rPr>
                <w:rFonts w:ascii="Times New Roman" w:cs="Times New Roman" w:eastAsia="Times New Roman" w:hAnsi="Times New Roman"/>
                <w:sz w:val="18"/>
                <w:szCs w:val="18"/>
                <w:color w:val="0000FF"/>
                <w:w w:val="88"/>
              </w:rPr>
              <w:t>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60" w:type="dxa"/>
            <w:vAlign w:val="bottom"/>
            <w:tcBorders>
              <w:top w:val="single" w:sz="8" w:color="0000FF"/>
            </w:tcBorders>
            <w:gridSpan w:val="17"/>
          </w:tcPr>
          <w:p>
            <w:pPr>
              <w:spacing w:after="0" w:line="141" w:lineRule="exact"/>
              <w:rPr>
                <w:sz w:val="20"/>
                <w:szCs w:val="20"/>
                <w:color w:val="auto"/>
              </w:rPr>
            </w:pPr>
            <w:r>
              <w:rPr>
                <w:rFonts w:ascii="Times New Roman" w:cs="Times New Roman" w:eastAsia="Times New Roman" w:hAnsi="Times New Roman"/>
                <w:sz w:val="16"/>
                <w:szCs w:val="16"/>
                <w:color w:val="0000FF"/>
              </w:rPr>
              <w:t>2024 (unaudited)</w:t>
            </w:r>
          </w:p>
        </w:tc>
        <w:tc>
          <w:tcPr>
            <w:tcW w:w="40" w:type="dxa"/>
            <w:vAlign w:val="bottom"/>
            <w:gridSpan w:val="2"/>
          </w:tcPr>
          <w:p>
            <w:pPr>
              <w:spacing w:after="0"/>
              <w:rPr>
                <w:sz w:val="15"/>
                <w:szCs w:val="15"/>
                <w:color w:val="auto"/>
              </w:rPr>
            </w:pPr>
          </w:p>
        </w:tc>
        <w:tc>
          <w:tcPr>
            <w:tcW w:w="40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00" w:type="dxa"/>
            <w:vAlign w:val="bottom"/>
            <w:shd w:val="clear" w:color="auto" w:fill="CDFFCC"/>
          </w:tcPr>
          <w:p>
            <w:pPr>
              <w:spacing w:after="0"/>
              <w:rPr>
                <w:sz w:val="23"/>
                <w:szCs w:val="23"/>
                <w:color w:val="auto"/>
              </w:rPr>
            </w:pPr>
          </w:p>
        </w:tc>
        <w:tc>
          <w:tcPr>
            <w:tcW w:w="460" w:type="dxa"/>
            <w:vAlign w:val="bottom"/>
            <w:shd w:val="clear" w:color="auto" w:fill="CDFFCC"/>
          </w:tcPr>
          <w:p>
            <w:pPr>
              <w:spacing w:after="0"/>
              <w:rPr>
                <w:sz w:val="23"/>
                <w:szCs w:val="23"/>
                <w:color w:val="auto"/>
              </w:rPr>
            </w:pPr>
          </w:p>
        </w:tc>
        <w:tc>
          <w:tcPr>
            <w:tcW w:w="40" w:type="dxa"/>
            <w:vAlign w:val="bottom"/>
            <w:shd w:val="clear" w:color="auto" w:fill="CDFFCC"/>
          </w:tcPr>
          <w:p>
            <w:pPr>
              <w:spacing w:after="0"/>
              <w:rPr>
                <w:sz w:val="23"/>
                <w:szCs w:val="23"/>
                <w:color w:val="auto"/>
              </w:rPr>
            </w:pPr>
          </w:p>
        </w:tc>
        <w:tc>
          <w:tcPr>
            <w:tcW w:w="140" w:type="dxa"/>
            <w:vAlign w:val="bottom"/>
            <w:shd w:val="clear" w:color="auto" w:fill="CDFFCC"/>
          </w:tcPr>
          <w:p>
            <w:pPr>
              <w:spacing w:after="0"/>
              <w:rPr>
                <w:sz w:val="23"/>
                <w:szCs w:val="23"/>
                <w:color w:val="auto"/>
              </w:rPr>
            </w:pPr>
          </w:p>
        </w:tc>
        <w:tc>
          <w:tcPr>
            <w:tcW w:w="320" w:type="dxa"/>
            <w:vAlign w:val="bottom"/>
            <w:shd w:val="clear" w:color="auto" w:fill="CDFFCC"/>
          </w:tcPr>
          <w:p>
            <w:pPr>
              <w:spacing w:after="0"/>
              <w:rPr>
                <w:sz w:val="23"/>
                <w:szCs w:val="23"/>
                <w:color w:val="auto"/>
              </w:rPr>
            </w:pPr>
          </w:p>
        </w:tc>
        <w:tc>
          <w:tcPr>
            <w:tcW w:w="600" w:type="dxa"/>
            <w:vAlign w:val="bottom"/>
            <w:tcBorders>
              <w:top w:val="single" w:sz="8" w:color="0000FF"/>
            </w:tcBorders>
            <w:shd w:val="clear" w:color="auto" w:fill="CDFFCC"/>
          </w:tcPr>
          <w:p>
            <w:pPr>
              <w:spacing w:after="0"/>
              <w:rPr>
                <w:sz w:val="23"/>
                <w:szCs w:val="23"/>
                <w:color w:val="auto"/>
              </w:rPr>
            </w:pPr>
          </w:p>
        </w:tc>
        <w:tc>
          <w:tcPr>
            <w:tcW w:w="160" w:type="dxa"/>
            <w:vAlign w:val="bottom"/>
            <w:tcBorders>
              <w:top w:val="single" w:sz="8" w:color="0000FF"/>
            </w:tcBorders>
            <w:shd w:val="clear" w:color="auto" w:fill="CDFFCC"/>
          </w:tcPr>
          <w:p>
            <w:pPr>
              <w:spacing w:after="0"/>
              <w:rPr>
                <w:sz w:val="23"/>
                <w:szCs w:val="23"/>
                <w:color w:val="auto"/>
              </w:rPr>
            </w:pPr>
          </w:p>
        </w:tc>
        <w:tc>
          <w:tcPr>
            <w:tcW w:w="60" w:type="dxa"/>
            <w:vAlign w:val="bottom"/>
            <w:tcBorders>
              <w:top w:val="single" w:sz="8" w:color="0000FF"/>
            </w:tcBorders>
            <w:shd w:val="clear" w:color="auto" w:fill="CDFFCC"/>
          </w:tcPr>
          <w:p>
            <w:pPr>
              <w:spacing w:after="0"/>
              <w:rPr>
                <w:sz w:val="23"/>
                <w:szCs w:val="23"/>
                <w:color w:val="auto"/>
              </w:rPr>
            </w:pPr>
          </w:p>
        </w:tc>
        <w:tc>
          <w:tcPr>
            <w:tcW w:w="80" w:type="dxa"/>
            <w:vAlign w:val="bottom"/>
            <w:tcBorders>
              <w:top w:val="single" w:sz="8" w:color="0000FF"/>
            </w:tcBorders>
            <w:shd w:val="clear" w:color="auto" w:fill="CDFFCC"/>
          </w:tcPr>
          <w:p>
            <w:pPr>
              <w:spacing w:after="0"/>
              <w:rPr>
                <w:sz w:val="23"/>
                <w:szCs w:val="23"/>
                <w:color w:val="auto"/>
              </w:rPr>
            </w:pPr>
          </w:p>
        </w:tc>
        <w:tc>
          <w:tcPr>
            <w:tcW w:w="320" w:type="dxa"/>
            <w:vAlign w:val="bottom"/>
            <w:tcBorders>
              <w:top w:val="single" w:sz="8" w:color="0000FF"/>
            </w:tcBorders>
            <w:shd w:val="clear" w:color="auto" w:fill="CDFFCC"/>
          </w:tcPr>
          <w:p>
            <w:pPr>
              <w:spacing w:after="0"/>
              <w:rPr>
                <w:sz w:val="23"/>
                <w:szCs w:val="23"/>
                <w:color w:val="auto"/>
              </w:rPr>
            </w:pPr>
          </w:p>
        </w:tc>
        <w:tc>
          <w:tcPr>
            <w:tcW w:w="80" w:type="dxa"/>
            <w:vAlign w:val="bottom"/>
            <w:shd w:val="clear" w:color="auto" w:fill="CDFFCC"/>
          </w:tcPr>
          <w:p>
            <w:pPr>
              <w:spacing w:after="0"/>
              <w:rPr>
                <w:sz w:val="23"/>
                <w:szCs w:val="23"/>
                <w:color w:val="auto"/>
              </w:rPr>
            </w:pPr>
          </w:p>
        </w:tc>
        <w:tc>
          <w:tcPr>
            <w:tcW w:w="2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260" w:type="dxa"/>
            <w:vAlign w:val="bottom"/>
            <w:shd w:val="clear" w:color="auto" w:fill="CDFFCC"/>
          </w:tcPr>
          <w:p>
            <w:pPr>
              <w:spacing w:after="0"/>
              <w:rPr>
                <w:sz w:val="23"/>
                <w:szCs w:val="23"/>
                <w:color w:val="auto"/>
              </w:rPr>
            </w:pPr>
          </w:p>
        </w:tc>
        <w:tc>
          <w:tcPr>
            <w:tcW w:w="560" w:type="dxa"/>
            <w:vAlign w:val="bottom"/>
            <w:shd w:val="clear" w:color="auto" w:fill="CDFFCC"/>
          </w:tcPr>
          <w:p>
            <w:pPr>
              <w:spacing w:after="0"/>
              <w:rPr>
                <w:sz w:val="23"/>
                <w:szCs w:val="23"/>
                <w:color w:val="auto"/>
              </w:rPr>
            </w:pPr>
          </w:p>
        </w:tc>
        <w:tc>
          <w:tcPr>
            <w:tcW w:w="2000" w:type="dxa"/>
            <w:vAlign w:val="bottom"/>
            <w:shd w:val="clear" w:color="auto" w:fill="CDFFCC"/>
          </w:tcPr>
          <w:p>
            <w:pPr>
              <w:spacing w:after="0"/>
              <w:rPr>
                <w:sz w:val="23"/>
                <w:szCs w:val="23"/>
                <w:color w:val="auto"/>
              </w:rPr>
            </w:pPr>
          </w:p>
        </w:tc>
        <w:tc>
          <w:tcPr>
            <w:tcW w:w="520" w:type="dxa"/>
            <w:vAlign w:val="bottom"/>
            <w:shd w:val="clear" w:color="auto" w:fill="CDFFCC"/>
          </w:tcPr>
          <w:p>
            <w:pPr>
              <w:spacing w:after="0"/>
              <w:rPr>
                <w:sz w:val="23"/>
                <w:szCs w:val="23"/>
                <w:color w:val="auto"/>
              </w:rPr>
            </w:pPr>
          </w:p>
        </w:tc>
        <w:tc>
          <w:tcPr>
            <w:tcW w:w="1560" w:type="dxa"/>
            <w:vAlign w:val="bottom"/>
            <w:shd w:val="clear" w:color="auto" w:fill="CDFFCC"/>
          </w:tcPr>
          <w:p>
            <w:pPr>
              <w:spacing w:after="0"/>
              <w:rPr>
                <w:sz w:val="23"/>
                <w:szCs w:val="23"/>
                <w:color w:val="auto"/>
              </w:rPr>
            </w:pPr>
          </w:p>
        </w:tc>
        <w:tc>
          <w:tcPr>
            <w:tcW w:w="1260" w:type="dxa"/>
            <w:vAlign w:val="bottom"/>
            <w:shd w:val="clear" w:color="auto" w:fill="CDFFCC"/>
          </w:tcPr>
          <w:p>
            <w:pPr>
              <w:spacing w:after="0"/>
              <w:rPr>
                <w:sz w:val="23"/>
                <w:szCs w:val="23"/>
                <w:color w:val="auto"/>
              </w:rPr>
            </w:pPr>
          </w:p>
        </w:tc>
        <w:tc>
          <w:tcPr>
            <w:tcW w:w="540" w:type="dxa"/>
            <w:vAlign w:val="bottom"/>
            <w:shd w:val="clear" w:color="auto" w:fill="CDFFCC"/>
          </w:tcPr>
          <w:p>
            <w:pPr>
              <w:spacing w:after="0"/>
              <w:rPr>
                <w:sz w:val="23"/>
                <w:szCs w:val="23"/>
                <w:color w:val="auto"/>
              </w:rPr>
            </w:pPr>
          </w:p>
        </w:tc>
        <w:tc>
          <w:tcPr>
            <w:tcW w:w="460" w:type="dxa"/>
            <w:vAlign w:val="bottom"/>
            <w:shd w:val="clear" w:color="auto" w:fill="CDFFCC"/>
          </w:tcPr>
          <w:p>
            <w:pPr>
              <w:spacing w:after="0"/>
              <w:rPr>
                <w:sz w:val="23"/>
                <w:szCs w:val="23"/>
                <w:color w:val="auto"/>
              </w:rPr>
            </w:pPr>
          </w:p>
        </w:tc>
        <w:tc>
          <w:tcPr>
            <w:tcW w:w="800" w:type="dxa"/>
            <w:vAlign w:val="bottom"/>
            <w:shd w:val="clear" w:color="auto" w:fill="CDFFCC"/>
          </w:tcPr>
          <w:p>
            <w:pPr>
              <w:spacing w:after="0"/>
              <w:rPr>
                <w:sz w:val="23"/>
                <w:szCs w:val="23"/>
                <w:color w:val="auto"/>
              </w:rPr>
            </w:pPr>
          </w:p>
        </w:tc>
        <w:tc>
          <w:tcPr>
            <w:tcW w:w="20" w:type="dxa"/>
            <w:vAlign w:val="bottom"/>
            <w:shd w:val="clear" w:color="auto" w:fill="CDFFCC"/>
          </w:tcPr>
          <w:p>
            <w:pPr>
              <w:spacing w:after="0"/>
              <w:rPr>
                <w:sz w:val="23"/>
                <w:szCs w:val="23"/>
                <w:color w:val="auto"/>
              </w:rPr>
            </w:pPr>
          </w:p>
        </w:tc>
        <w:tc>
          <w:tcPr>
            <w:tcW w:w="2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40" w:type="dxa"/>
            <w:vAlign w:val="bottom"/>
            <w:shd w:val="clear" w:color="auto" w:fill="CDFFCC"/>
          </w:tcPr>
          <w:p>
            <w:pPr>
              <w:spacing w:after="0"/>
              <w:rPr>
                <w:sz w:val="23"/>
                <w:szCs w:val="23"/>
                <w:color w:val="auto"/>
              </w:rPr>
            </w:pPr>
          </w:p>
        </w:tc>
        <w:tc>
          <w:tcPr>
            <w:tcW w:w="60" w:type="dxa"/>
            <w:vAlign w:val="bottom"/>
            <w:shd w:val="clear" w:color="auto" w:fill="CDFFCC"/>
          </w:tcPr>
          <w:p>
            <w:pPr>
              <w:spacing w:after="0"/>
              <w:rPr>
                <w:sz w:val="23"/>
                <w:szCs w:val="23"/>
                <w:color w:val="auto"/>
              </w:rPr>
            </w:pPr>
          </w:p>
        </w:tc>
        <w:tc>
          <w:tcPr>
            <w:tcW w:w="80" w:type="dxa"/>
            <w:vAlign w:val="bottom"/>
            <w:tcBorders>
              <w:top w:val="single" w:sz="8" w:color="0000FF"/>
            </w:tcBorders>
            <w:shd w:val="clear" w:color="auto" w:fill="CDFFCC"/>
          </w:tcPr>
          <w:p>
            <w:pPr>
              <w:spacing w:after="0"/>
              <w:rPr>
                <w:sz w:val="23"/>
                <w:szCs w:val="23"/>
                <w:color w:val="auto"/>
              </w:rPr>
            </w:pPr>
          </w:p>
        </w:tc>
        <w:tc>
          <w:tcPr>
            <w:tcW w:w="40" w:type="dxa"/>
            <w:vAlign w:val="bottom"/>
            <w:shd w:val="clear" w:color="auto" w:fill="CDFFCC"/>
          </w:tcPr>
          <w:p>
            <w:pPr>
              <w:spacing w:after="0"/>
              <w:rPr>
                <w:sz w:val="23"/>
                <w:szCs w:val="23"/>
                <w:color w:val="auto"/>
              </w:rPr>
            </w:pPr>
          </w:p>
        </w:tc>
        <w:tc>
          <w:tcPr>
            <w:tcW w:w="60" w:type="dxa"/>
            <w:vAlign w:val="bottom"/>
            <w:shd w:val="clear" w:color="auto" w:fill="CDFFCC"/>
          </w:tcPr>
          <w:p>
            <w:pPr>
              <w:spacing w:after="0"/>
              <w:rPr>
                <w:sz w:val="23"/>
                <w:szCs w:val="23"/>
                <w:color w:val="auto"/>
              </w:rPr>
            </w:pPr>
          </w:p>
        </w:tc>
        <w:tc>
          <w:tcPr>
            <w:tcW w:w="180" w:type="dxa"/>
            <w:vAlign w:val="bottom"/>
            <w:shd w:val="clear" w:color="auto" w:fill="CDFFCC"/>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 (unaudited)</w:t>
            </w:r>
          </w:p>
        </w:tc>
        <w:tc>
          <w:tcPr>
            <w:tcW w:w="400" w:type="dxa"/>
            <w:vAlign w:val="bottom"/>
            <w:gridSpan w:val="5"/>
          </w:tcPr>
          <w:p>
            <w:pPr>
              <w:jc w:val="center"/>
              <w:ind w:left="151"/>
              <w:spacing w:after="0" w:line="188" w:lineRule="exact"/>
              <w:rPr>
                <w:sz w:val="20"/>
                <w:szCs w:val="20"/>
                <w:color w:val="auto"/>
              </w:rPr>
            </w:pPr>
            <w:r>
              <w:rPr>
                <w:rFonts w:ascii="Times New Roman" w:cs="Times New Roman" w:eastAsia="Times New Roman" w:hAnsi="Times New Roman"/>
                <w:sz w:val="18"/>
                <w:szCs w:val="18"/>
                <w:color w:val="0000FF"/>
                <w:w w:val="88"/>
              </w:rPr>
              <w:t>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00" w:type="dxa"/>
            <w:vAlign w:val="bottom"/>
            <w:gridSpan w:val="5"/>
          </w:tcPr>
          <w:p>
            <w:pPr>
              <w:jc w:val="center"/>
              <w:ind w:left="151"/>
              <w:spacing w:after="0" w:line="188" w:lineRule="exact"/>
              <w:rPr>
                <w:sz w:val="20"/>
                <w:szCs w:val="20"/>
                <w:color w:val="auto"/>
              </w:rPr>
            </w:pPr>
            <w:r>
              <w:rPr>
                <w:rFonts w:ascii="Times New Roman" w:cs="Times New Roman" w:eastAsia="Times New Roman" w:hAnsi="Times New Roman"/>
                <w:sz w:val="18"/>
                <w:szCs w:val="18"/>
                <w:color w:val="0000FF"/>
                <w:w w:val="88"/>
              </w:rPr>
              <w:t>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52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Controls and Procedures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0560" w:type="dxa"/>
            <w:vAlign w:val="bottom"/>
            <w:gridSpan w:val="24"/>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1.</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1A.</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84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2.</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3.</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4.</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94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5.</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Other Information</w:t>
            </w:r>
          </w:p>
        </w:tc>
        <w:tc>
          <w:tcPr>
            <w:tcW w:w="460" w:type="dxa"/>
            <w:vAlign w:val="bottom"/>
            <w:gridSpan w:val="6"/>
          </w:tcPr>
          <w:p>
            <w:pPr>
              <w:jc w:val="center"/>
              <w:ind w:left="71"/>
              <w:spacing w:after="0" w:line="188" w:lineRule="exact"/>
              <w:rPr>
                <w:sz w:val="20"/>
                <w:szCs w:val="20"/>
                <w:color w:val="auto"/>
              </w:rPr>
            </w:pPr>
            <w:r>
              <w:rPr>
                <w:rFonts w:ascii="Times New Roman" w:cs="Times New Roman" w:eastAsia="Times New Roman" w:hAnsi="Times New Roman"/>
                <w:sz w:val="18"/>
                <w:szCs w:val="18"/>
                <w:color w:val="0000FF"/>
                <w:w w:val="99"/>
              </w:rPr>
              <w:t>95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60" w:type="dxa"/>
            <w:vAlign w:val="bottom"/>
            <w:gridSpan w:val="5"/>
          </w:tcPr>
          <w:p>
            <w:pPr>
              <w:ind w:left="100"/>
              <w:spacing w:after="0" w:line="188" w:lineRule="exact"/>
              <w:rPr>
                <w:sz w:val="20"/>
                <w:szCs w:val="20"/>
                <w:color w:val="auto"/>
              </w:rPr>
            </w:pPr>
            <w:r>
              <w:rPr>
                <w:rFonts w:ascii="Times New Roman" w:cs="Times New Roman" w:eastAsia="Times New Roman" w:hAnsi="Times New Roman"/>
                <w:sz w:val="18"/>
                <w:szCs w:val="18"/>
                <w:color w:val="auto"/>
              </w:rPr>
              <w:t>Item 6.</w:t>
            </w:r>
          </w:p>
        </w:tc>
        <w:tc>
          <w:tcPr>
            <w:tcW w:w="9500" w:type="dxa"/>
            <w:vAlign w:val="bottom"/>
            <w:gridSpan w:val="19"/>
          </w:tcPr>
          <w:p>
            <w:pPr>
              <w:spacing w:after="0" w:line="188" w:lineRule="exact"/>
              <w:rPr>
                <w:sz w:val="20"/>
                <w:szCs w:val="20"/>
                <w:color w:val="auto"/>
              </w:rPr>
            </w:pPr>
            <w:r>
              <w:rPr>
                <w:rFonts w:ascii="Times New Roman" w:cs="Times New Roman" w:eastAsia="Times New Roman" w:hAnsi="Times New Roman"/>
                <w:sz w:val="18"/>
                <w:szCs w:val="18"/>
                <w:color w:val="0000FF"/>
              </w:rPr>
              <w:t>Exhibits</w:t>
            </w:r>
          </w:p>
        </w:tc>
        <w:tc>
          <w:tcPr>
            <w:tcW w:w="400" w:type="dxa"/>
            <w:vAlign w:val="bottom"/>
            <w:gridSpan w:val="5"/>
          </w:tcPr>
          <w:p>
            <w:pPr>
              <w:jc w:val="center"/>
              <w:ind w:left="151"/>
              <w:spacing w:after="0" w:line="188" w:lineRule="exact"/>
              <w:rPr>
                <w:sz w:val="20"/>
                <w:szCs w:val="20"/>
                <w:color w:val="auto"/>
              </w:rPr>
            </w:pPr>
            <w:r>
              <w:rPr>
                <w:rFonts w:ascii="Times New Roman" w:cs="Times New Roman" w:eastAsia="Times New Roman" w:hAnsi="Times New Roman"/>
                <w:sz w:val="18"/>
                <w:szCs w:val="18"/>
                <w:color w:val="0000FF"/>
                <w:w w:val="88"/>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14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6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32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260" w:type="dxa"/>
            <w:vAlign w:val="bottom"/>
            <w:shd w:val="clear" w:color="auto" w:fill="CDFFCC"/>
          </w:tcPr>
          <w:p>
            <w:pPr>
              <w:spacing w:after="0"/>
              <w:rPr>
                <w:sz w:val="22"/>
                <w:szCs w:val="22"/>
                <w:color w:val="auto"/>
              </w:rPr>
            </w:pPr>
          </w:p>
        </w:tc>
        <w:tc>
          <w:tcPr>
            <w:tcW w:w="560" w:type="dxa"/>
            <w:vAlign w:val="bottom"/>
            <w:shd w:val="clear" w:color="auto" w:fill="CDFFCC"/>
          </w:tcPr>
          <w:p>
            <w:pPr>
              <w:spacing w:after="0"/>
              <w:rPr>
                <w:sz w:val="22"/>
                <w:szCs w:val="22"/>
                <w:color w:val="auto"/>
              </w:rPr>
            </w:pPr>
          </w:p>
        </w:tc>
        <w:tc>
          <w:tcPr>
            <w:tcW w:w="2000" w:type="dxa"/>
            <w:vAlign w:val="bottom"/>
            <w:shd w:val="clear" w:color="auto" w:fill="CDFFCC"/>
          </w:tcPr>
          <w:p>
            <w:pPr>
              <w:spacing w:after="0"/>
              <w:rPr>
                <w:sz w:val="22"/>
                <w:szCs w:val="22"/>
                <w:color w:val="auto"/>
              </w:rPr>
            </w:pPr>
          </w:p>
        </w:tc>
        <w:tc>
          <w:tcPr>
            <w:tcW w:w="520" w:type="dxa"/>
            <w:vAlign w:val="bottom"/>
            <w:shd w:val="clear" w:color="auto" w:fill="CDFFCC"/>
          </w:tcPr>
          <w:p>
            <w:pPr>
              <w:spacing w:after="0"/>
              <w:rPr>
                <w:sz w:val="22"/>
                <w:szCs w:val="22"/>
                <w:color w:val="auto"/>
              </w:rPr>
            </w:pPr>
          </w:p>
        </w:tc>
        <w:tc>
          <w:tcPr>
            <w:tcW w:w="15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540" w:type="dxa"/>
            <w:vAlign w:val="bottom"/>
            <w:shd w:val="clear" w:color="auto" w:fill="CDFFCC"/>
          </w:tcPr>
          <w:p>
            <w:pPr>
              <w:spacing w:after="0"/>
              <w:rPr>
                <w:sz w:val="22"/>
                <w:szCs w:val="22"/>
                <w:color w:val="auto"/>
              </w:rPr>
            </w:pPr>
          </w:p>
        </w:tc>
        <w:tc>
          <w:tcPr>
            <w:tcW w:w="460" w:type="dxa"/>
            <w:vAlign w:val="bottom"/>
            <w:shd w:val="clear" w:color="auto" w:fill="CDFFCC"/>
          </w:tcPr>
          <w:p>
            <w:pPr>
              <w:spacing w:after="0"/>
              <w:rPr>
                <w:sz w:val="22"/>
                <w:szCs w:val="22"/>
                <w:color w:val="auto"/>
              </w:rPr>
            </w:pPr>
          </w:p>
        </w:tc>
        <w:tc>
          <w:tcPr>
            <w:tcW w:w="80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80" w:type="dxa"/>
            <w:vAlign w:val="bottom"/>
            <w:shd w:val="clear" w:color="auto" w:fill="CDFFCC"/>
          </w:tcPr>
          <w:p>
            <w:pPr>
              <w:spacing w:after="0"/>
              <w:rPr>
                <w:sz w:val="22"/>
                <w:szCs w:val="22"/>
                <w:color w:val="auto"/>
              </w:rPr>
            </w:pPr>
          </w:p>
        </w:tc>
        <w:tc>
          <w:tcPr>
            <w:tcW w:w="40" w:type="dxa"/>
            <w:vAlign w:val="bottom"/>
            <w:shd w:val="clear" w:color="auto" w:fill="CDFFCC"/>
          </w:tcPr>
          <w:p>
            <w:pPr>
              <w:spacing w:after="0"/>
              <w:rPr>
                <w:sz w:val="22"/>
                <w:szCs w:val="22"/>
                <w:color w:val="auto"/>
              </w:rPr>
            </w:pPr>
          </w:p>
        </w:tc>
        <w:tc>
          <w:tcPr>
            <w:tcW w:w="6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Borders>
              <w:bottom w:val="single" w:sz="8" w:color="0000FF"/>
            </w:tcBorders>
            <w:gridSpan w:val="2"/>
          </w:tcPr>
          <w:p>
            <w:pPr>
              <w:spacing w:after="0" w:line="188" w:lineRule="exact"/>
              <w:rPr>
                <w:sz w:val="20"/>
                <w:szCs w:val="20"/>
                <w:color w:val="auto"/>
              </w:rPr>
            </w:pPr>
            <w:r>
              <w:rPr>
                <w:rFonts w:ascii="Times New Roman" w:cs="Times New Roman" w:eastAsia="Times New Roman" w:hAnsi="Times New Roman"/>
                <w:sz w:val="18"/>
                <w:szCs w:val="18"/>
                <w:color w:val="0000FF"/>
                <w:w w:val="97"/>
              </w:rPr>
              <w:t>Signatures</w:t>
            </w:r>
          </w:p>
        </w:tc>
        <w:tc>
          <w:tcPr>
            <w:tcW w:w="8740" w:type="dxa"/>
            <w:vAlign w:val="bottom"/>
            <w:gridSpan w:val="17"/>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88" w:lineRule="exact"/>
              <w:rPr>
                <w:sz w:val="20"/>
                <w:szCs w:val="20"/>
                <w:color w:val="auto"/>
              </w:rPr>
            </w:pPr>
            <w:r>
              <w:rPr>
                <w:rFonts w:ascii="Times New Roman" w:cs="Times New Roman" w:eastAsia="Times New Roman" w:hAnsi="Times New Roman"/>
                <w:sz w:val="18"/>
                <w:szCs w:val="18"/>
                <w:color w:val="0000FF"/>
              </w:rPr>
              <w:t>101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2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7" w:lineRule="auto"/>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auto"/>
        </w:rPr>
        <w:t>KESTREL GROUP LTD</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80" w:type="dxa"/>
            <w:vAlign w:val="bottom"/>
          </w:tcPr>
          <w:p>
            <w:pPr>
              <w:spacing w:after="0"/>
              <w:rPr>
                <w:sz w:val="16"/>
                <w:szCs w:val="16"/>
                <w:color w:val="auto"/>
              </w:rPr>
            </w:pPr>
          </w:p>
        </w:tc>
        <w:tc>
          <w:tcPr>
            <w:tcW w:w="12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8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09"/>
        </w:trPr>
        <w:tc>
          <w:tcPr>
            <w:tcW w:w="826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0" w:type="dxa"/>
            <w:vAlign w:val="bottom"/>
          </w:tcPr>
          <w:p>
            <w:pPr>
              <w:spacing w:after="0"/>
              <w:rPr>
                <w:sz w:val="1"/>
                <w:szCs w:val="1"/>
                <w:color w:val="auto"/>
              </w:rPr>
            </w:pPr>
          </w:p>
        </w:tc>
      </w:tr>
      <w:tr>
        <w:trPr>
          <w:trHeight w:val="229"/>
        </w:trPr>
        <w:tc>
          <w:tcPr>
            <w:tcW w:w="8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i w:val="1"/>
                <w:iCs w:val="1"/>
                <w:color w:val="auto"/>
              </w:rPr>
              <w:t>Investments:</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Fixed maturities, available-for-sale, at fair value </w:t>
            </w:r>
            <w:r>
              <w:rPr>
                <w:rFonts w:ascii="Times New Roman" w:cs="Times New Roman" w:eastAsia="Times New Roman" w:hAnsi="Times New Roman"/>
                <w:sz w:val="18"/>
                <w:szCs w:val="18"/>
                <w:i w:val="1"/>
                <w:iCs w:val="1"/>
                <w:color w:val="auto"/>
              </w:rPr>
              <w:t>(Amortized cost: 2025 - $205,323)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 xml:space="preserve">Equity securities, at fair value </w:t>
            </w:r>
            <w:r>
              <w:rPr>
                <w:rFonts w:ascii="Times New Roman" w:cs="Times New Roman" w:eastAsia="Times New Roman" w:hAnsi="Times New Roman"/>
                <w:sz w:val="18"/>
                <w:szCs w:val="18"/>
                <w:i w:val="1"/>
                <w:iCs w:val="1"/>
                <w:color w:val="auto"/>
              </w:rPr>
              <w:t>(Cost: 2025 - $11,145)</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162,105</w:t>
            </w:r>
          </w:p>
        </w:tc>
        <w:tc>
          <w:tcPr>
            <w:tcW w:w="10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28"/>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1"/>
        </w:trPr>
        <w:tc>
          <w:tcPr>
            <w:tcW w:w="82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 xml:space="preserve">Reinsurance balances receivable, net (includes $7,742 from related parties in 2025). </w:t>
            </w:r>
            <w:r>
              <w:rPr>
                <w:rFonts w:ascii="Times New Roman" w:cs="Times New Roman" w:eastAsia="Times New Roman" w:hAnsi="Times New Roman"/>
                <w:sz w:val="18"/>
                <w:szCs w:val="18"/>
                <w:i w:val="1"/>
                <w:iCs w:val="1"/>
                <w:color w:val="auto"/>
              </w:rPr>
              <w:t>Allowance for expected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credit losses: 2025 - $236)</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6"/>
                <w:szCs w:val="16"/>
                <w:color w:val="auto"/>
              </w:rPr>
              <w:t xml:space="preserve">Reinsurance recoverable on unpaid losses </w:t>
            </w:r>
            <w:r>
              <w:rPr>
                <w:rFonts w:ascii="Times New Roman" w:cs="Times New Roman" w:eastAsia="Times New Roman" w:hAnsi="Times New Roman"/>
                <w:sz w:val="16"/>
                <w:szCs w:val="16"/>
                <w:i w:val="1"/>
                <w:iCs w:val="1"/>
                <w:color w:val="auto"/>
              </w:rPr>
              <w:t>(Allowance for expected credit losses: 2025 - $1,655)</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520,520</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loan receivable from related party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Funds withheld receivable </w:t>
            </w:r>
            <w:r>
              <w:rPr>
                <w:rFonts w:ascii="Times New Roman" w:cs="Times New Roman" w:eastAsia="Times New Roman" w:hAnsi="Times New Roman"/>
                <w:sz w:val="18"/>
                <w:szCs w:val="18"/>
                <w:i w:val="1"/>
                <w:iCs w:val="1"/>
                <w:color w:val="auto"/>
              </w:rPr>
              <w:t>(Allowance for expected credit losses: 2025 - $9)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10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1,159,411</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0"/>
        </w:trPr>
        <w:tc>
          <w:tcPr>
            <w:tcW w:w="8260" w:type="dxa"/>
            <w:vAlign w:val="bottom"/>
            <w:tcBorders>
              <w:top w:val="single" w:sz="8" w:color="CCFFCC"/>
              <w:bottom w:val="single" w:sz="8" w:color="CCFFCC"/>
            </w:tcBorders>
            <w:vMerge w:val="restart"/>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Reserve for loss and loss adjustment expenses (includes $630,102 from related parties in 2025)</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723,432</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 (includes $22,053 from related parties in 2025)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Earn out liability</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securities purchased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8260" w:type="dxa"/>
            <w:vAlign w:val="bottom"/>
            <w:shd w:val="clear" w:color="auto" w:fill="CCFFCC"/>
          </w:tcPr>
          <w:p>
            <w:pPr>
              <w:ind w:left="180"/>
              <w:spacing w:after="0" w:line="182" w:lineRule="exact"/>
              <w:rPr>
                <w:sz w:val="20"/>
                <w:szCs w:val="20"/>
                <w:color w:val="auto"/>
              </w:rPr>
            </w:pPr>
            <w:r>
              <w:rPr>
                <w:rFonts w:ascii="Times New Roman" w:cs="Times New Roman" w:eastAsia="Times New Roman" w:hAnsi="Times New Roman"/>
                <w:sz w:val="18"/>
                <w:szCs w:val="18"/>
                <w:color w:val="auto"/>
              </w:rPr>
              <w:t>Accrued expenses and other liabilities (includes $45,459 and $0 from related parties in 2025 and 2024,</w:t>
            </w:r>
          </w:p>
        </w:tc>
        <w:tc>
          <w:tcPr>
            <w:tcW w:w="20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79,263</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8"/>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notes - principal amount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340"/>
              <w:spacing w:after="0"/>
              <w:rPr>
                <w:sz w:val="20"/>
                <w:szCs w:val="20"/>
                <w:color w:val="auto"/>
              </w:rPr>
            </w:pPr>
            <w:r>
              <w:rPr>
                <w:rFonts w:ascii="Times New Roman" w:cs="Times New Roman" w:eastAsia="Times New Roman" w:hAnsi="Times New Roman"/>
                <w:sz w:val="18"/>
                <w:szCs w:val="18"/>
                <w:color w:val="auto"/>
              </w:rPr>
              <w:t>Less: unamortized fair value adjustment</w:t>
            </w:r>
          </w:p>
        </w:tc>
        <w:tc>
          <w:tcPr>
            <w:tcW w:w="20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88,578</w:t>
            </w:r>
          </w:p>
        </w:tc>
        <w:tc>
          <w:tcPr>
            <w:tcW w:w="10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notes,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0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1,009,326</w:t>
            </w:r>
          </w:p>
        </w:tc>
        <w:tc>
          <w:tcPr>
            <w:tcW w:w="10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08"/>
        </w:trPr>
        <w:tc>
          <w:tcPr>
            <w:tcW w:w="8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6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260" w:type="dxa"/>
            <w:vAlign w:val="bottom"/>
            <w:shd w:val="clear" w:color="auto" w:fill="CCFFCC"/>
          </w:tcPr>
          <w:p>
            <w:pPr>
              <w:ind w:left="80"/>
              <w:spacing w:after="0" w:line="184" w:lineRule="exact"/>
              <w:rPr>
                <w:sz w:val="20"/>
                <w:szCs w:val="20"/>
                <w:color w:val="auto"/>
              </w:rPr>
            </w:pPr>
            <w:r>
              <w:rPr>
                <w:rFonts w:ascii="Times New Roman" w:cs="Times New Roman" w:eastAsia="Times New Roman" w:hAnsi="Times New Roman"/>
                <w:sz w:val="18"/>
                <w:szCs w:val="18"/>
                <w:color w:val="auto"/>
              </w:rPr>
              <w:t>Common shares ($0.01 par value; 2025: 9,979,477 and 2024 - 2,749,996 shares issued; 2025: 7,741,943 and</w:t>
            </w:r>
          </w:p>
        </w:tc>
        <w:tc>
          <w:tcPr>
            <w:tcW w:w="20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2024 - 2,749,996 shares outstanding)</w:t>
            </w:r>
          </w:p>
        </w:tc>
        <w:tc>
          <w:tcPr>
            <w:tcW w:w="200" w:type="dxa"/>
            <w:vAlign w:val="bottom"/>
            <w:shd w:val="clear" w:color="auto" w:fill="CCFFCC"/>
          </w:tcPr>
          <w:p>
            <w:pPr>
              <w:spacing w:after="0"/>
              <w:rPr>
                <w:sz w:val="20"/>
                <w:szCs w:val="20"/>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8"/>
        </w:trPr>
        <w:tc>
          <w:tcPr>
            <w:tcW w:w="8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r>
        <w:trPr>
          <w:trHeight w:val="228"/>
        </w:trPr>
        <w:tc>
          <w:tcPr>
            <w:tcW w:w="82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Treasury shares, at cost (2025: 2,237,534 shares)</w:t>
            </w:r>
          </w:p>
        </w:tc>
        <w:tc>
          <w:tcPr>
            <w:tcW w:w="20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00" w:type="dxa"/>
            <w:vAlign w:val="bottom"/>
            <w:shd w:val="clear" w:color="auto" w:fill="CCFFCC"/>
          </w:tcPr>
          <w:p>
            <w:pPr>
              <w:spacing w:after="0"/>
              <w:rPr>
                <w:sz w:val="19"/>
                <w:szCs w:val="19"/>
                <w:color w:val="auto"/>
              </w:rPr>
            </w:pPr>
          </w:p>
        </w:tc>
        <w:tc>
          <w:tcPr>
            <w:tcW w:w="180" w:type="dxa"/>
            <w:vAlign w:val="bottom"/>
            <w:tcBorders>
              <w:bottom w:val="single" w:sz="8" w:color="auto"/>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150,085</w:t>
            </w:r>
          </w:p>
        </w:tc>
        <w:tc>
          <w:tcPr>
            <w:tcW w:w="100" w:type="dxa"/>
            <w:vAlign w:val="bottom"/>
            <w:tcBorders>
              <w:bottom w:val="single" w:sz="8" w:color="CC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1,159,411</w:t>
            </w:r>
          </w:p>
        </w:tc>
        <w:tc>
          <w:tcPr>
            <w:tcW w:w="10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0" w:type="dxa"/>
            <w:vAlign w:val="bottom"/>
          </w:tcPr>
          <w:p>
            <w:pPr>
              <w:spacing w:after="0"/>
              <w:rPr>
                <w:sz w:val="1"/>
                <w:szCs w:val="1"/>
                <w:color w:val="auto"/>
              </w:rPr>
            </w:pPr>
          </w:p>
        </w:tc>
      </w:tr>
      <w:tr>
        <w:trPr>
          <w:trHeight w:val="20"/>
        </w:trPr>
        <w:tc>
          <w:tcPr>
            <w:tcW w:w="82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share data)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60" w:type="dxa"/>
            <w:vAlign w:val="bottom"/>
            <w:tcBorders>
              <w:bottom w:val="single" w:sz="8" w:color="CCFFC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FFC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FFC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FFC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premiums written</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premiums written</w:t>
            </w:r>
          </w:p>
        </w:tc>
        <w:tc>
          <w:tcPr>
            <w:tcW w:w="22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Borders>
              <w:top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Net premiums earned</w:t>
            </w:r>
          </w:p>
        </w:tc>
        <w:tc>
          <w:tcPr>
            <w:tcW w:w="220" w:type="dxa"/>
            <w:vAlign w:val="bottom"/>
            <w:tcBorders>
              <w:top w:val="single" w:sz="8" w:color="auto"/>
            </w:tcBorders>
            <w:shd w:val="clear" w:color="auto" w:fill="CCFFCC"/>
          </w:tcPr>
          <w:p>
            <w:pPr>
              <w:spacing w:after="0"/>
              <w:rPr>
                <w:sz w:val="19"/>
                <w:szCs w:val="19"/>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spacing w:after="0"/>
              <w:rPr>
                <w:sz w:val="19"/>
                <w:szCs w:val="19"/>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spacing w:after="0"/>
              <w:rPr>
                <w:sz w:val="19"/>
                <w:szCs w:val="19"/>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 revenue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8"/>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Borders>
              <w:top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bottom w:val="single" w:sz="8" w:color="auto"/>
            </w:tcBorders>
            <w:shd w:val="clear" w:color="auto" w:fill="CCFFCC"/>
          </w:tcPr>
          <w:p>
            <w:pPr>
              <w:spacing w:after="0"/>
              <w:rPr>
                <w:sz w:val="19"/>
                <w:szCs w:val="19"/>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0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loss and loss adjustment expenses</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and amortization expenses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Borders>
              <w:bottom w:val="single" w:sz="8" w:color="CCFFCC"/>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12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(63,727)</w:t>
            </w:r>
          </w:p>
        </w:tc>
        <w:tc>
          <w:tcPr>
            <w:tcW w:w="12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21"/>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before income taxes</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70,425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70,123</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income tax expense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60" w:type="dxa"/>
            <w:vAlign w:val="bottom"/>
            <w:tcBorders>
              <w:top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220" w:type="dxa"/>
            <w:vAlign w:val="bottom"/>
            <w:tcBorders>
              <w:top w:val="single" w:sz="8" w:color="auto"/>
            </w:tcBorders>
            <w:shd w:val="clear" w:color="auto" w:fill="CCFFCC"/>
          </w:tcPr>
          <w:p>
            <w:pPr>
              <w:spacing w:after="0"/>
              <w:rPr>
                <w:sz w:val="19"/>
                <w:szCs w:val="19"/>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spacing w:after="0"/>
              <w:rPr>
                <w:sz w:val="19"/>
                <w:szCs w:val="19"/>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70,028</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spacing w:after="0"/>
              <w:rPr>
                <w:sz w:val="19"/>
                <w:szCs w:val="19"/>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5260" w:type="dxa"/>
            <w:vAlign w:val="bottom"/>
            <w:tcBorders>
              <w:top w:val="single" w:sz="8" w:color="CCFFCC"/>
              <w:bottom w:val="single" w:sz="8" w:color="CCFFCC"/>
            </w:tcBorders>
            <w:shd w:val="clear" w:color="auto" w:fill="CCFFCC"/>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top w:val="single" w:sz="8" w:color="auto"/>
              <w:bottom w:val="single" w:sz="8" w:color="auto"/>
            </w:tcBorders>
            <w:shd w:val="clear" w:color="auto" w:fill="CCFFCC"/>
          </w:tcPr>
          <w:p>
            <w:pPr>
              <w:jc w:val="right"/>
              <w:ind w:right="3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FFCC"/>
          </w:tcPr>
          <w:p>
            <w:pPr>
              <w:jc w:val="right"/>
              <w:spacing w:after="0" w:line="195" w:lineRule="exact"/>
              <w:rPr>
                <w:sz w:val="20"/>
                <w:szCs w:val="20"/>
                <w:color w:val="auto"/>
              </w:rPr>
            </w:pPr>
            <w:r>
              <w:rPr>
                <w:rFonts w:ascii="Times New Roman" w:cs="Times New Roman" w:eastAsia="Times New Roman" w:hAnsi="Times New Roman"/>
                <w:sz w:val="18"/>
                <w:szCs w:val="18"/>
                <w:color w:val="auto"/>
              </w:rPr>
              <w:t>69,927</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FFCC"/>
          </w:tcPr>
          <w:p>
            <w:pPr>
              <w:jc w:val="right"/>
              <w:spacing w:after="0" w:line="195" w:lineRule="exact"/>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jc w:val="right"/>
              <w:ind w:right="5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FFCC"/>
          </w:tcPr>
          <w:p>
            <w:pPr>
              <w:jc w:val="right"/>
              <w:spacing w:after="0" w:line="195" w:lineRule="exact"/>
              <w:rPr>
                <w:sz w:val="20"/>
                <w:szCs w:val="20"/>
                <w:color w:val="auto"/>
              </w:rPr>
            </w:pPr>
            <w:r>
              <w:rPr>
                <w:rFonts w:ascii="Times New Roman" w:cs="Times New Roman" w:eastAsia="Times New Roman" w:hAnsi="Times New Roman"/>
                <w:sz w:val="18"/>
                <w:szCs w:val="18"/>
                <w:color w:val="auto"/>
              </w:rPr>
              <w:t>69,533</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FFCC"/>
          </w:tcPr>
          <w:p>
            <w:pPr>
              <w:jc w:val="right"/>
              <w:spacing w:after="0" w:line="195" w:lineRule="exact"/>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260" w:type="dxa"/>
            <w:vAlign w:val="bottom"/>
            <w:shd w:val="clear" w:color="auto" w:fill="CCFFCC"/>
          </w:tcPr>
          <w:p>
            <w:pPr>
              <w:ind w:left="60"/>
              <w:spacing w:after="0" w:line="175" w:lineRule="exact"/>
              <w:rPr>
                <w:sz w:val="20"/>
                <w:szCs w:val="20"/>
                <w:color w:val="auto"/>
              </w:rPr>
            </w:pPr>
            <w:r>
              <w:rPr>
                <w:rFonts w:ascii="Times New Roman" w:cs="Times New Roman" w:eastAsia="Times New Roman" w:hAnsi="Times New Roman"/>
                <w:sz w:val="18"/>
                <w:szCs w:val="18"/>
                <w:color w:val="auto"/>
              </w:rPr>
              <w:t>Basic and diluted earnings (loss) from continuing operations per share</w:t>
            </w:r>
          </w:p>
        </w:tc>
        <w:tc>
          <w:tcPr>
            <w:tcW w:w="22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60" w:type="dxa"/>
            <w:vAlign w:val="bottom"/>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attributable to Kestrel common shareholders</w:t>
            </w:r>
          </w:p>
        </w:tc>
        <w:tc>
          <w:tcPr>
            <w:tcW w:w="22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shd w:val="clear" w:color="auto" w:fill="CCFFCC"/>
          </w:tcPr>
          <w:p>
            <w:pPr>
              <w:spacing w:after="0"/>
              <w:rPr>
                <w:sz w:val="20"/>
                <w:szCs w:val="20"/>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FFCC"/>
          </w:tcPr>
          <w:p>
            <w:pPr>
              <w:spacing w:after="0"/>
              <w:rPr>
                <w:sz w:val="20"/>
                <w:szCs w:val="20"/>
                <w:color w:val="auto"/>
              </w:rPr>
            </w:pP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FFCC"/>
          </w:tcPr>
          <w:p>
            <w:pPr>
              <w:spacing w:after="0"/>
              <w:rPr>
                <w:sz w:val="20"/>
                <w:szCs w:val="20"/>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74"/>
        </w:trPr>
        <w:tc>
          <w:tcPr>
            <w:tcW w:w="5260" w:type="dxa"/>
            <w:vAlign w:val="bottom"/>
          </w:tcPr>
          <w:p>
            <w:pPr>
              <w:ind w:left="60"/>
              <w:spacing w:after="0" w:line="175" w:lineRule="exact"/>
              <w:rPr>
                <w:sz w:val="20"/>
                <w:szCs w:val="20"/>
                <w:color w:val="auto"/>
              </w:rPr>
            </w:pPr>
            <w:r>
              <w:rPr>
                <w:rFonts w:ascii="Times New Roman" w:cs="Times New Roman" w:eastAsia="Times New Roman" w:hAnsi="Times New Roman"/>
                <w:sz w:val="18"/>
                <w:szCs w:val="18"/>
                <w:color w:val="auto"/>
              </w:rPr>
              <w:t>Basic and diluted loss from discontinued operations per share</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Kestrel common shareholders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5260" w:type="dxa"/>
            <w:vAlign w:val="bottom"/>
            <w:tcBorders>
              <w:top w:val="single" w:sz="8" w:color="CCFFCC"/>
            </w:tcBorders>
            <w:shd w:val="clear" w:color="auto" w:fill="CCFFCC"/>
          </w:tcPr>
          <w:p>
            <w:pPr>
              <w:ind w:left="60"/>
              <w:spacing w:after="0" w:line="154" w:lineRule="exact"/>
              <w:rPr>
                <w:sz w:val="20"/>
                <w:szCs w:val="20"/>
                <w:color w:val="auto"/>
              </w:rPr>
            </w:pPr>
            <w:r>
              <w:rPr>
                <w:rFonts w:ascii="Times New Roman" w:cs="Times New Roman" w:eastAsia="Times New Roman" w:hAnsi="Times New Roman"/>
                <w:sz w:val="17"/>
                <w:szCs w:val="17"/>
                <w:color w:val="auto"/>
              </w:rPr>
              <w:t>Basic and diluted earnings (loss) per share attributable to Kestrel</w:t>
            </w:r>
          </w:p>
        </w:tc>
        <w:tc>
          <w:tcPr>
            <w:tcW w:w="220" w:type="dxa"/>
            <w:vAlign w:val="bottom"/>
            <w:tcBorders>
              <w:top w:val="single" w:sz="8" w:color="auto"/>
            </w:tcBorders>
            <w:vMerge w:val="restart"/>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top w:val="single" w:sz="8" w:color="CCFFCC"/>
            </w:tcBorders>
            <w:shd w:val="clear" w:color="auto" w:fill="CCFFCC"/>
          </w:tcPr>
          <w:p>
            <w:pPr>
              <w:spacing w:after="0"/>
              <w:rPr>
                <w:sz w:val="13"/>
                <w:szCs w:val="13"/>
                <w:color w:val="auto"/>
              </w:rPr>
            </w:pPr>
          </w:p>
        </w:tc>
        <w:tc>
          <w:tcPr>
            <w:tcW w:w="320" w:type="dxa"/>
            <w:vAlign w:val="bottom"/>
            <w:tcBorders>
              <w:top w:val="single" w:sz="8" w:color="auto"/>
            </w:tcBorders>
            <w:vMerge w:val="restart"/>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top w:val="single" w:sz="8" w:color="CCFFCC"/>
            </w:tcBorders>
            <w:shd w:val="clear" w:color="auto" w:fill="CCFFCC"/>
          </w:tcPr>
          <w:p>
            <w:pPr>
              <w:spacing w:after="0"/>
              <w:rPr>
                <w:sz w:val="13"/>
                <w:szCs w:val="13"/>
                <w:color w:val="auto"/>
              </w:rPr>
            </w:pPr>
          </w:p>
        </w:tc>
        <w:tc>
          <w:tcPr>
            <w:tcW w:w="240" w:type="dxa"/>
            <w:vAlign w:val="bottom"/>
            <w:tcBorders>
              <w:top w:val="single" w:sz="8" w:color="auto"/>
            </w:tcBorders>
            <w:vMerge w:val="restart"/>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Borders>
              <w:top w:val="single" w:sz="8" w:color="CCFFCC"/>
            </w:tcBorders>
            <w:shd w:val="clear" w:color="auto" w:fill="CCFFCC"/>
          </w:tcPr>
          <w:p>
            <w:pPr>
              <w:spacing w:after="0"/>
              <w:rPr>
                <w:sz w:val="13"/>
                <w:szCs w:val="13"/>
                <w:color w:val="auto"/>
              </w:rPr>
            </w:pPr>
          </w:p>
        </w:tc>
        <w:tc>
          <w:tcPr>
            <w:tcW w:w="320" w:type="dxa"/>
            <w:vAlign w:val="bottom"/>
            <w:tcBorders>
              <w:top w:val="single" w:sz="8" w:color="auto"/>
            </w:tcBorders>
            <w:vMerge w:val="restart"/>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34"/>
        </w:trPr>
        <w:tc>
          <w:tcPr>
            <w:tcW w:w="5260" w:type="dxa"/>
            <w:vAlign w:val="bottom"/>
            <w:tcBorders>
              <w:bottom w:val="single" w:sz="8" w:color="CCFFCC"/>
            </w:tcBorders>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common shareholders</w:t>
            </w:r>
          </w:p>
        </w:tc>
        <w:tc>
          <w:tcPr>
            <w:tcW w:w="220" w:type="dxa"/>
            <w:vAlign w:val="bottom"/>
            <w:tcBorders>
              <w:bottom w:val="single" w:sz="8" w:color="auto"/>
            </w:tcBorders>
            <w:vMerge w:val="continue"/>
            <w:shd w:val="clear" w:color="auto" w:fill="CCFFCC"/>
          </w:tcPr>
          <w:p>
            <w:pPr>
              <w:spacing w:after="0"/>
              <w:rPr>
                <w:sz w:val="20"/>
                <w:szCs w:val="20"/>
                <w:color w:val="auto"/>
              </w:rPr>
            </w:pPr>
          </w:p>
        </w:tc>
        <w:tc>
          <w:tcPr>
            <w:tcW w:w="118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vMerge w:val="continue"/>
            <w:shd w:val="clear" w:color="auto" w:fill="CCFFCC"/>
          </w:tcPr>
          <w:p>
            <w:pPr>
              <w:spacing w:after="0"/>
              <w:rPr>
                <w:sz w:val="20"/>
                <w:szCs w:val="20"/>
                <w:color w:val="auto"/>
              </w:rPr>
            </w:pPr>
          </w:p>
        </w:tc>
        <w:tc>
          <w:tcPr>
            <w:tcW w:w="112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vMerge w:val="continue"/>
            <w:shd w:val="clear" w:color="auto" w:fill="CCFFCC"/>
          </w:tcPr>
          <w:p>
            <w:pPr>
              <w:spacing w:after="0"/>
              <w:rPr>
                <w:sz w:val="20"/>
                <w:szCs w:val="20"/>
                <w:color w:val="auto"/>
              </w:rPr>
            </w:pPr>
          </w:p>
        </w:tc>
        <w:tc>
          <w:tcPr>
            <w:tcW w:w="116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vMerge w:val="continue"/>
            <w:shd w:val="clear" w:color="auto" w:fill="CCFFCC"/>
          </w:tcPr>
          <w:p>
            <w:pPr>
              <w:spacing w:after="0"/>
              <w:rPr>
                <w:sz w:val="20"/>
                <w:szCs w:val="20"/>
                <w:color w:val="auto"/>
              </w:rPr>
            </w:pPr>
          </w:p>
        </w:tc>
        <w:tc>
          <w:tcPr>
            <w:tcW w:w="108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tcPr>
          <w:p>
            <w:pPr>
              <w:spacing w:after="0"/>
              <w:rPr>
                <w:sz w:val="17"/>
                <w:szCs w:val="17"/>
                <w:color w:val="auto"/>
              </w:rPr>
            </w:pPr>
          </w:p>
        </w:tc>
        <w:tc>
          <w:tcPr>
            <w:tcW w:w="220" w:type="dxa"/>
            <w:vAlign w:val="bottom"/>
          </w:tcPr>
          <w:p>
            <w:pPr>
              <w:jc w:val="right"/>
              <w:ind w:right="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Weighted average number of common shares - basic and diluted</w:t>
            </w:r>
          </w:p>
        </w:tc>
        <w:tc>
          <w:tcPr>
            <w:tcW w:w="2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4,635,406</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2,749,996</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3,692,701</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2,749,996</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310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5"/>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6"/>
        </w:trPr>
        <w:tc>
          <w:tcPr>
            <w:tcW w:w="5120" w:type="dxa"/>
            <w:vAlign w:val="bottom"/>
            <w:tcBorders>
              <w:bottom w:val="single" w:sz="8" w:color="CCFFCC"/>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FFC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FFC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FFC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3"/>
        </w:trPr>
        <w:tc>
          <w:tcPr>
            <w:tcW w:w="5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bottom w:val="single" w:sz="8" w:color="auto"/>
            </w:tcBorders>
            <w:shd w:val="clear" w:color="auto" w:fill="CCFFC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6"/>
              </w:rPr>
              <w:t>69,927</w:t>
            </w:r>
          </w:p>
        </w:tc>
        <w:tc>
          <w:tcPr>
            <w:tcW w:w="10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ind w:left="68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69,533</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ind w:left="680"/>
              <w:spacing w:after="0"/>
              <w:rPr>
                <w:sz w:val="20"/>
                <w:szCs w:val="20"/>
                <w:color w:val="auto"/>
              </w:rPr>
            </w:pPr>
            <w:r>
              <w:rPr>
                <w:rFonts w:ascii="Times New Roman" w:cs="Times New Roman" w:eastAsia="Times New Roman" w:hAnsi="Times New Roman"/>
                <w:sz w:val="18"/>
                <w:szCs w:val="18"/>
                <w:color w:val="auto"/>
              </w:rPr>
              <w:t>(924)</w:t>
            </w:r>
          </w:p>
        </w:tc>
      </w:tr>
      <w:tr>
        <w:trPr>
          <w:trHeight w:val="20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5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unrealized holdings gains on AFS fixed maturities</w:t>
            </w:r>
          </w:p>
        </w:tc>
        <w:tc>
          <w:tcPr>
            <w:tcW w:w="880" w:type="dxa"/>
            <w:vAlign w:val="bottom"/>
            <w:shd w:val="clear" w:color="auto" w:fill="CCFFCC"/>
          </w:tcPr>
          <w:p>
            <w:pPr>
              <w:spacing w:after="0"/>
              <w:rPr>
                <w:sz w:val="19"/>
                <w:szCs w:val="19"/>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held for sale fixed maturities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80" w:type="dxa"/>
            <w:vAlign w:val="bottom"/>
            <w:shd w:val="clear" w:color="auto" w:fill="CCFFCC"/>
          </w:tcPr>
          <w:p>
            <w:pPr>
              <w:spacing w:after="0"/>
              <w:rPr>
                <w:sz w:val="19"/>
                <w:szCs w:val="19"/>
                <w:color w:val="auto"/>
              </w:rPr>
            </w:pPr>
          </w:p>
        </w:tc>
        <w:tc>
          <w:tcPr>
            <w:tcW w:w="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8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120" w:type="dxa"/>
            <w:vAlign w:val="bottom"/>
            <w:shd w:val="clear" w:color="auto" w:fill="CCFFCC"/>
          </w:tcPr>
          <w:p>
            <w:pPr>
              <w:ind w:left="20"/>
              <w:spacing w:after="0" w:line="175" w:lineRule="exact"/>
              <w:rPr>
                <w:sz w:val="20"/>
                <w:szCs w:val="20"/>
                <w:color w:val="auto"/>
              </w:rPr>
            </w:pPr>
            <w:r>
              <w:rPr>
                <w:rFonts w:ascii="Times New Roman" w:cs="Times New Roman" w:eastAsia="Times New Roman" w:hAnsi="Times New Roman"/>
                <w:sz w:val="18"/>
                <w:szCs w:val="18"/>
                <w:color w:val="auto"/>
              </w:rPr>
              <w:t>Income tax expense related to components of other comprehensive</w:t>
            </w:r>
          </w:p>
        </w:tc>
        <w:tc>
          <w:tcPr>
            <w:tcW w:w="88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r>
      <w:tr>
        <w:trPr>
          <w:trHeight w:val="241"/>
        </w:trPr>
        <w:tc>
          <w:tcPr>
            <w:tcW w:w="51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880" w:type="dxa"/>
            <w:vAlign w:val="bottom"/>
            <w:shd w:val="clear" w:color="auto" w:fill="CCFFCC"/>
          </w:tcPr>
          <w:p>
            <w:pPr>
              <w:spacing w:after="0"/>
              <w:rPr>
                <w:sz w:val="20"/>
                <w:szCs w:val="20"/>
                <w:color w:val="auto"/>
              </w:rPr>
            </w:pPr>
          </w:p>
        </w:tc>
        <w:tc>
          <w:tcPr>
            <w:tcW w:w="68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20"/>
                <w:szCs w:val="20"/>
                <w:color w:val="auto"/>
              </w:rPr>
            </w:pPr>
          </w:p>
        </w:tc>
        <w:tc>
          <w:tcPr>
            <w:tcW w:w="1100" w:type="dxa"/>
            <w:vAlign w:val="bottom"/>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12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after tax</w:t>
            </w:r>
          </w:p>
        </w:tc>
        <w:tc>
          <w:tcPr>
            <w:tcW w:w="8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12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880" w:type="dxa"/>
            <w:vAlign w:val="bottom"/>
            <w:tcBorders>
              <w:bottom w:val="single" w:sz="8" w:color="auto"/>
            </w:tcBorders>
            <w:shd w:val="clear" w:color="auto" w:fill="CCFFCC"/>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6"/>
              </w:rPr>
              <w:t>70,486</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ind w:left="680"/>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70,092</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ind w:left="680"/>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512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71755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issued on Combination Agreement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top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spacing w:after="0"/>
              <w:rPr>
                <w:sz w:val="19"/>
                <w:szCs w:val="19"/>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0" w:type="dxa"/>
            <w:vAlign w:val="bottom"/>
          </w:tcPr>
          <w:p>
            <w:pPr>
              <w:spacing w:after="0"/>
              <w:rPr>
                <w:sz w:val="1"/>
                <w:szCs w:val="1"/>
                <w:color w:val="auto"/>
              </w:rPr>
            </w:pPr>
          </w:p>
        </w:tc>
      </w:tr>
      <w:tr>
        <w:trPr>
          <w:trHeight w:val="228"/>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Shares issued as consideration for Combination</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166,539</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166,539</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12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10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10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0" w:type="dxa"/>
            <w:vAlign w:val="bottom"/>
          </w:tcPr>
          <w:p>
            <w:pPr>
              <w:spacing w:after="0"/>
              <w:rPr>
                <w:sz w:val="1"/>
                <w:szCs w:val="1"/>
                <w:color w:val="auto"/>
              </w:rPr>
            </w:pPr>
          </w:p>
        </w:tc>
      </w:tr>
      <w:tr>
        <w:trPr>
          <w:trHeight w:val="20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Change in net unrealized investment gains</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top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shd w:val="clear" w:color="auto" w:fill="CCFFCC"/>
          </w:tcPr>
          <w:p>
            <w:pPr>
              <w:spacing w:after="0"/>
              <w:rPr>
                <w:sz w:val="19"/>
                <w:szCs w:val="19"/>
                <w:color w:val="auto"/>
              </w:rPr>
            </w:pPr>
          </w:p>
        </w:tc>
        <w:tc>
          <w:tcPr>
            <w:tcW w:w="12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bottom w:val="single" w:sz="8" w:color="auto"/>
            </w:tcBorders>
            <w:shd w:val="clear" w:color="auto" w:fill="CCFFCC"/>
          </w:tcPr>
          <w:p>
            <w:pPr>
              <w:spacing w:after="0"/>
              <w:rPr>
                <w:sz w:val="19"/>
                <w:szCs w:val="19"/>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Distribution to shareholders</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0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0" w:type="dxa"/>
            <w:vAlign w:val="bottom"/>
          </w:tcPr>
          <w:p>
            <w:pPr>
              <w:spacing w:after="0"/>
              <w:rPr>
                <w:sz w:val="1"/>
                <w:szCs w:val="1"/>
                <w:color w:val="auto"/>
              </w:rPr>
            </w:pPr>
          </w:p>
        </w:tc>
      </w:tr>
      <w:tr>
        <w:trPr>
          <w:trHeight w:val="20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Beginning balance</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Shares issued to Maiden Reinsurance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Ending balance</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2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00" w:type="dxa"/>
            <w:vAlign w:val="bottom"/>
            <w:tcBorders>
              <w:bottom w:val="single" w:sz="8" w:color="CCFFC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20" w:type="dxa"/>
            <w:vAlign w:val="bottom"/>
            <w:tcBorders>
              <w:bottom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150,085</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150,085</w:t>
            </w:r>
          </w:p>
        </w:tc>
        <w:tc>
          <w:tcPr>
            <w:tcW w:w="10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0"/>
        </w:trPr>
        <w:tc>
          <w:tcPr>
            <w:tcW w:w="52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34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6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69,533</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r>
      <w:tr>
        <w:trPr>
          <w:trHeight w:val="216"/>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Less: net loss from discontinued operations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Other non-cash expenses including depreciation, amortization, share-based compensation and leases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bargain purchase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Net realized and unrealized investment gains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allowance for expected credit losses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Foreign exchange and other losses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 xml:space="preserve">Changes in assets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(increase) decrease: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Reinsurance balances receivable, net</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Reinsurance recoverable on unpaid losses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Funds withheld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1,968</w:t>
            </w:r>
          </w:p>
        </w:tc>
      </w:tr>
      <w:tr>
        <w:trPr>
          <w:trHeight w:val="21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6"/>
                <w:szCs w:val="16"/>
                <w:i w:val="1"/>
                <w:iCs w:val="1"/>
                <w:color w:val="auto"/>
              </w:rPr>
              <w:t xml:space="preserve">Changes in liabilities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increase (decrease):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Reserve for loss and loss adjustment expenses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(25,090)</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Unearned premiums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8,452</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(1,644)</w:t>
            </w:r>
          </w:p>
        </w:tc>
      </w:tr>
      <w:tr>
        <w:trPr>
          <w:trHeight w:val="20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continuing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Net cash used in discontinued operations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26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(20,738)</w:t>
            </w:r>
          </w:p>
        </w:tc>
        <w:tc>
          <w:tcPr>
            <w:tcW w:w="100" w:type="dxa"/>
            <w:vAlign w:val="bottom"/>
            <w:tcBorders>
              <w:bottom w:val="single" w:sz="8" w:color="CCFFC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19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investing activities:</w:t>
            </w: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fixed maturities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Purchases of other investments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of equity method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Proceeds from sales of fixed maturities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7,312</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maturities, paydowns and calls of fixed maturities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Proceeds from sale and redemption of other investments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Proceeds from sale and redemption of equity method investments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Cash acquired from purchase of business</w:t>
            </w: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79,807</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Others,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88,333</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4"/>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Cash flows from 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Dividends paid – Kestrel equityholders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26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CCFFC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foreign currency cash, restricted cash and cash equivalents</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restricted cash and cash equivalents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17"/>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5,553</w:t>
            </w:r>
          </w:p>
        </w:tc>
      </w:tr>
      <w:tr>
        <w:trPr>
          <w:trHeight w:val="205"/>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restricted cash and cash equivalents, end of period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15"/>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color w:val="auto"/>
              </w:rPr>
              <w:t>Less: change in cash and cash equivalents held for sale</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restricted cash and cash equivalents, end of period, excluding held-for-sale</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0"/>
        </w:trPr>
        <w:tc>
          <w:tcPr>
            <w:tcW w:w="81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8260" w:type="dxa"/>
            <w:vAlign w:val="bottom"/>
            <w:gridSpan w:val="2"/>
            <w:shd w:val="clear" w:color="auto" w:fill="CCFFCC"/>
          </w:tcPr>
          <w:p>
            <w:pPr>
              <w:ind w:left="20"/>
              <w:spacing w:after="0" w:line="181" w:lineRule="exact"/>
              <w:rPr>
                <w:sz w:val="20"/>
                <w:szCs w:val="20"/>
                <w:color w:val="auto"/>
              </w:rPr>
            </w:pPr>
            <w:r>
              <w:rPr>
                <w:rFonts w:ascii="Times New Roman" w:cs="Times New Roman" w:eastAsia="Times New Roman" w:hAnsi="Times New Roman"/>
                <w:sz w:val="16"/>
                <w:szCs w:val="16"/>
                <w:i w:val="1"/>
                <w:iCs w:val="1"/>
                <w:color w:val="auto"/>
              </w:rPr>
              <w:t>Reconciliation of cash and restricted cash reported within Condensed Consolidated Balance Sheets:</w:t>
            </w:r>
          </w:p>
        </w:tc>
        <w:tc>
          <w:tcPr>
            <w:tcW w:w="3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r>
      <w:tr>
        <w:trPr>
          <w:trHeight w:val="21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18,951</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14"/>
        </w:trPr>
        <w:tc>
          <w:tcPr>
            <w:tcW w:w="82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color w:val="auto"/>
              </w:rPr>
              <w:t>Restricted cash and cash equivalents, end of period</w:t>
            </w: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14,717</w:t>
            </w:r>
          </w:p>
        </w:tc>
        <w:tc>
          <w:tcPr>
            <w:tcW w:w="1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restricted cash and cash equivalents, end of period</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4,987</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Condensed Consolidated Financial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Kestrel Group Ltd ("Parent Company" or "Kestrel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Group") and its subsidiaries (the "Company" or "Kestrel"). They have been prepared in accordance with accounting principles generally accepted in the United States ("U.S. GAAP") for interim financial information and with the instructions to Form 10-Q and Article 10 of Regulation S-X as promulgated by the U.S. Securities and Exchange Commission ("SEC"). Accordingly, they do not include all of the information and footnotes required by U.S. GAAP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financial statements. All significant intercompany transactions and accounts have been eliminated.</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These interim unaudited Condensed Consolidated Financial Statements reflect all adjustments that are, in the opinion of management, necessary for a fair presentation of the results for the interim period and all such adjustments are of a normal recurring nature. The results of operations for the interim period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are not necessarily indicative, if annualized, of those to be expected for the full year. The preparation of financial statements in conformity with U.S. GAAP requires management to make estimates and assumptions that affect the amounts reported in the financial statements and accompanying notes. Actual results could differ from those estimates.</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Kestrel Group Ltd transitioned from Article 5 to Article 7 of Regulation S-X as promulgated by the SEC since its core business fundamentally shifted from a general commercial operation to primarily functioning as an insurance company under its recent business combination as discussed further below. This change in SEC filing status necessitated significant adjustments to how the Company presents its balance sheet, income statement and other financial</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statements, to align with the specific requirements of Article 7 for insurance companies. As a result, the Company's assets, liabilities, and equity accounts have been reclassified to fit the new presentation requirements under Article 7. Certain prior year comparatives have been reclassified to conform to current period presentation. The effect of these reclassifications had no impact on previously reported shareholders' equity or net income, except the 2024 Kestrel</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equity was recast to conform with the current number of common shares issued to Kestrel equityholders and revised equity structure. Please see section on </w:t>
      </w:r>
      <w:r>
        <w:rPr>
          <w:rFonts w:ascii="Times New Roman" w:cs="Times New Roman" w:eastAsia="Times New Roman" w:hAnsi="Times New Roman"/>
          <w:sz w:val="18"/>
          <w:szCs w:val="18"/>
          <w:i w:val="1"/>
          <w:iCs w:val="1"/>
          <w:color w:val="auto"/>
        </w:rPr>
        <w:t xml:space="preserve">Accounting Treatment for the Combination </w:t>
      </w:r>
      <w:r>
        <w:rPr>
          <w:rFonts w:ascii="Times New Roman" w:cs="Times New Roman" w:eastAsia="Times New Roman" w:hAnsi="Times New Roman"/>
          <w:sz w:val="18"/>
          <w:szCs w:val="18"/>
          <w:color w:val="auto"/>
        </w:rPr>
        <w:t>for further details on reclassifications.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Introductory Note</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On May 27, 2025, Kestrel Group LLC (“Kestrel LLC”) and Maiden Holdings, Ltd. (“Maiden”) completed their previously announced combination agreement ("Combination"), forming a new, publicly listed specialty program company operating under the name Kestrel Group Ltd. The Combination, which had been previously announced on December 30, 2024, effectuated the transaction via the formation of a new Bermuda holding company, Bermuda</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Ranger Topco Ltd. ("Bermuda NewCo"). Both Kestrel LLC and Maiden completed a series of transactions to become indirect wholly owned subsidiaries of Bermuda NewCo, and upon the closing of the transactions, Bermuda NewCo was renamed “Kestrel Group Ltd” and rebranded as Kestrel Group and is the successor company to Maiden.</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Maiden shares ceased trading on the NASDAQ Capital Market ("Nasdaq") at close of market on May 27, 2025 and Kestrel Group shares began trading on the Nasdaq on May 28, 2025 under the ticker symbol “KG”. The Combination creates a capital light, fee-based insurance platform with the ability to selectively deploy underwriting capacity to optimize shareholder returns.</w:t>
      </w:r>
    </w:p>
    <w:p>
      <w:pPr>
        <w:spacing w:after="0" w:line="64"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As of June 30, 2025, Maiden Reinsurance Ltd. (“Maiden Reinsurance”) owns approximately 22.4% of the Company's total outstanding common shares, which is eliminated for accounting and financial reporting purposes in our condensed consolidated financial statements. On April 29, 2025, Maiden shareholders approved a proposal to remove the 9.5% voting limitation at the Company's special general meeting of its shareholders ("Special Meeting").</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ownership of the common shares by Maiden Reinsurance was made in compliance with Maiden Reinsurance's investment policy and approved by the Vermont Department of Financial Regulation ("Vermont DFR"). On April 29, 2025, all proposals related to Maiden’s business combination with Kestrel were approved by Maiden’s shareholders.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Pursuant to the terms of the Combination, at the closing of the transaction on May 27, 2025, each issued and outstanding common share of Maiden, par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value $0.01 per share, was automatically canceled and converted into the right to receive one-twentieth (0.05) of a common share in Kestrel Group. Please see </w:t>
      </w:r>
      <w:r>
        <w:rPr>
          <w:rFonts w:ascii="Times New Roman" w:cs="Times New Roman" w:eastAsia="Times New Roman" w:hAnsi="Times New Roman"/>
          <w:sz w:val="18"/>
          <w:szCs w:val="18"/>
          <w:i w:val="1"/>
          <w:iCs w:val="1"/>
          <w:color w:val="auto"/>
        </w:rPr>
        <w:t>Note 6. Shareholders' Equity</w:t>
      </w:r>
      <w:r>
        <w:rPr>
          <w:rFonts w:ascii="Times New Roman" w:cs="Times New Roman" w:eastAsia="Times New Roman" w:hAnsi="Times New Roman"/>
          <w:sz w:val="18"/>
          <w:szCs w:val="18"/>
          <w:color w:val="auto"/>
        </w:rPr>
        <w:t xml:space="preserve"> for details of authorized share capital under the combined company.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equityholders of Kestrel LLC at the closing date received an aggregate of $40.0 million in upfront cash and 2,749,996 common shares of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combined company. In addition, the former equityholders of Kestrel Group LLC remain entitled to receive contingent consideration up to the lesser of (x) $45.0 million payable in common shares of Kestrel Group upon the achievement of certain financial milestones, and (y) 2.75 million common shares of Kestrel Group.</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 xml:space="preserve">Following completion of the Combination, the board of directors of Kestrel Group consists of seven directors, made up of four directors selected by Kestrel Intermediate Ledbetter Holdings LLC, two of whom are independent under applicable securities laws and stock exchange rules, and three directors selected by AmTrust, two of whom are independent under applicable securities laws and stock exchange rules. Please see </w:t>
      </w:r>
      <w:r>
        <w:rPr>
          <w:rFonts w:ascii="Times New Roman" w:cs="Times New Roman" w:eastAsia="Times New Roman" w:hAnsi="Times New Roman"/>
          <w:sz w:val="18"/>
          <w:szCs w:val="18"/>
          <w:i w:val="1"/>
          <w:iCs w:val="1"/>
          <w:color w:val="auto"/>
        </w:rPr>
        <w:t>Note 10. Related Party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for information regarding the Company's relationship with AmTrust.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Reinsurance Operations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Combination was completed with both parties in receipt of necessary regulatory approvals, including from the Vermont DFR which included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approval for the extraordinary dividend required to complete the transaction. Under the conditions stipulated in the Vermont DFR approval, Maiden Reinsurance is no longer permitted to include the intercompany loan receivable from Maiden Holdings (and related accrued interest) as an admitted asset for statutory capital and reporting purposes.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(continued)</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 result, Maiden Reinsurance's ratio of risk-based capital to total adjusted capital was significantly reduced, which remains sufficient to not only</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support the dividends related to the Combination with Kestrel and recurring annual dividends (and which require prior approval by the Vermont DFR) but the ability to selectively underwrite business in support of the Company's Program Services segment in the future.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 for the Combination</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 xml:space="preserve">Maiden was the legal acquirer of Kestrel. However, as a result of the terms of the Combination, for accounting purposes, the transaction is treated as a reverse acquisition and accounted for using the acquisition method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This determination is primarily based on the following factors: 1) the former Kestrel LLC equityholders have the ability to nominate a majority of the members of the board of</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directors of the combined company and 2) subsequent to consummation of the transaction, when combined with the shares held by Maiden Reinsurance, which shares Luke Ledbetter (acting in his capacity as President of Maiden Reinsurance) is authorized and has the discretion to vote on behalf of Maiden Reinsurance, the former Kestrel LLC equityholders have a majority of the voting rights of the combined company. As such, Maiden is treated as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company for accounting purposes.</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Accordingly, for financial reporting purposes, the net assets of Kestrel LLC are stated at historical carrying values and its condensed consolidated</w:t>
      </w:r>
    </w:p>
    <w:p>
      <w:pPr>
        <w:jc w:val="both"/>
        <w:spacing w:after="0" w:line="194" w:lineRule="auto"/>
        <w:rPr>
          <w:sz w:val="20"/>
          <w:szCs w:val="20"/>
          <w:color w:val="auto"/>
        </w:rPr>
      </w:pPr>
      <w:r>
        <w:rPr>
          <w:rFonts w:ascii="Times New Roman" w:cs="Times New Roman" w:eastAsia="Times New Roman" w:hAnsi="Times New Roman"/>
          <w:sz w:val="18"/>
          <w:szCs w:val="18"/>
          <w:color w:val="auto"/>
        </w:rPr>
        <w:t>financial statements are presented as the predecessor to the combined company in the historical financial statements following consummation of the transaction on May 27, 2025. The assets and liabilities of Maiden are recorded at their fair values measured as of the acquisition date. Any excess of the</w:t>
      </w:r>
    </w:p>
    <w:p>
      <w:pPr>
        <w:spacing w:after="0" w:line="202" w:lineRule="auto"/>
        <w:rPr>
          <w:sz w:val="20"/>
          <w:szCs w:val="20"/>
          <w:color w:val="auto"/>
        </w:rPr>
      </w:pPr>
      <w:r>
        <w:rPr>
          <w:rFonts w:ascii="Times New Roman" w:cs="Times New Roman" w:eastAsia="Times New Roman" w:hAnsi="Times New Roman"/>
          <w:sz w:val="18"/>
          <w:szCs w:val="18"/>
          <w:color w:val="auto"/>
        </w:rPr>
        <w:t>estimated fair values of the net assets acquired over the purchase price is recorded as a gain on bargain purchase. Based on final fair values of the assets</w:t>
      </w:r>
    </w:p>
    <w:p>
      <w:pPr>
        <w:spacing w:after="0" w:line="1"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8"/>
          <w:szCs w:val="18"/>
          <w:color w:val="auto"/>
        </w:rPr>
        <w:t xml:space="preserve">acquired and liabilities assumed, a bargain purchase gain of $73,590 was recognized in this transaction. The operating results of Maiden are only presented within the consolidated results of Kestrel from the date of acquisition going forward. Please refer to </w:t>
      </w:r>
      <w:r>
        <w:rPr>
          <w:rFonts w:ascii="Times New Roman" w:cs="Times New Roman" w:eastAsia="Times New Roman" w:hAnsi="Times New Roman"/>
          <w:sz w:val="18"/>
          <w:szCs w:val="18"/>
          <w:i w:val="1"/>
          <w:iCs w:val="1"/>
          <w:color w:val="auto"/>
        </w:rPr>
        <w:t>Note 15. Business Combination</w:t>
      </w:r>
      <w:r>
        <w:rPr>
          <w:rFonts w:ascii="Times New Roman" w:cs="Times New Roman" w:eastAsia="Times New Roman" w:hAnsi="Times New Roman"/>
          <w:sz w:val="18"/>
          <w:szCs w:val="18"/>
          <w:color w:val="auto"/>
        </w:rPr>
        <w:t xml:space="preserve"> for additional details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accounting treatment for the Combination.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 Service Operations</w:t>
      </w:r>
    </w:p>
    <w:p>
      <w:pPr>
        <w:spacing w:after="0" w:line="79"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Kestrel specializes in providing fronting services to insurance program managers, managing general agents (MGAs), reinsurers, and reinsurance brokers. Kestrel facilitates insurance transactions utilizing its exclusive management contracts with four insurance carriers, all of which are rated A- “Excellent” by</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A.M. Best. These contracts enable Kestrel LLC to offer both admitted and surplus lines in all U.S. states. Kestrel LLC generally does not assume significant underwriting risk and produces lines of business such as casualty, workers’ compensation, catastrophe-exposed property, and non-catastrophe-exposed property, with diverse risk durations, sizes, and product types.</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7"/>
          <w:szCs w:val="17"/>
          <w:color w:val="auto"/>
        </w:rPr>
        <w:t>As noted, Kestrel will continue to write business through its exclusive use of four A.M. Best A- FSC XV insurance carriers, Sierra Specialty Insurance Company, Rochdale Insurance Company, Park National Insurance Company and Republic Fire and Casualty Insurance Company (collectively, “AmTrust Insurance Companies”), all subsidiaries of AmTrust Financial Services, Inc. (“AmTrust”). Pursuant to the terms of the Combination Agreement, Kestrel retains the option to acquire the AmTrust Insurance Companies from AmTrust for a period of up to three years after closing of the Combination. AmTrust is</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 xml:space="preserve">a significant shareholder of Kestrel Group. Please see </w:t>
      </w:r>
      <w:r>
        <w:rPr>
          <w:rFonts w:ascii="Times New Roman" w:cs="Times New Roman" w:eastAsia="Times New Roman" w:hAnsi="Times New Roman"/>
          <w:sz w:val="18"/>
          <w:szCs w:val="18"/>
          <w:i w:val="1"/>
          <w:iCs w:val="1"/>
          <w:color w:val="auto"/>
        </w:rPr>
        <w:t>Note 10. Related Party Transactions</w:t>
      </w:r>
      <w:r>
        <w:rPr>
          <w:rFonts w:ascii="Times New Roman" w:cs="Times New Roman" w:eastAsia="Times New Roman" w:hAnsi="Times New Roman"/>
          <w:sz w:val="18"/>
          <w:szCs w:val="18"/>
          <w:color w:val="auto"/>
        </w:rPr>
        <w:t xml:space="preserve"> for further information regarding the Company's relationship with AmTrust.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Reinsurance Operations</w:t>
      </w:r>
    </w:p>
    <w:p>
      <w:pPr>
        <w:spacing w:after="0" w:line="9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 xml:space="preserve">The Company does not presently underwrite prospective reinsurance risks but may consider selectively deploying underwriting capacity in support of the Company's program services operations to optimize shareholder returns. The Company has various historic reinsurance programs underwritten by Maiden Reinsurance which are in run-off, including liabilities associated with AmTrust reinsurance agreements which were terminated in 2019 as discussed in </w:t>
      </w:r>
      <w:r>
        <w:rPr>
          <w:rFonts w:ascii="Times New Roman" w:cs="Times New Roman" w:eastAsia="Times New Roman" w:hAnsi="Times New Roman"/>
          <w:sz w:val="17"/>
          <w:szCs w:val="17"/>
          <w:i w:val="1"/>
          <w:iCs w:val="1"/>
          <w:color w:val="auto"/>
        </w:rPr>
        <w:t>Note</w:t>
      </w:r>
    </w:p>
    <w:p>
      <w:pPr>
        <w:spacing w:after="0" w:line="2" w:lineRule="exact"/>
        <w:rPr>
          <w:sz w:val="20"/>
          <w:szCs w:val="20"/>
          <w:color w:val="auto"/>
        </w:rPr>
      </w:pPr>
    </w:p>
    <w:p>
      <w:pPr>
        <w:ind w:right="20" w:firstLine="7"/>
        <w:spacing w:after="0" w:line="224" w:lineRule="auto"/>
        <w:tabs>
          <w:tab w:leader="none" w:pos="286"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In addition, the Company has a retroactive reinsurance agreement and a commutation agreement that further reduces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exposure and limits the potential volatility related to AmTrust liabilities, as further discussed in </w:t>
      </w:r>
      <w:r>
        <w:rPr>
          <w:rFonts w:ascii="Times New Roman" w:cs="Times New Roman" w:eastAsia="Times New Roman" w:hAnsi="Times New Roman"/>
          <w:sz w:val="18"/>
          <w:szCs w:val="18"/>
          <w:i w:val="1"/>
          <w:iCs w:val="1"/>
          <w:color w:val="auto"/>
        </w:rPr>
        <w:t>Note 8. Reinsurance</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also running off certain business related to its Genesis Legacy Solutions ("GLS") platform. In November 2020, Maiden formed its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indirect wholly owned subsidiary GLS, which specialized in providing a full range of legacy services to small insurance entities, particularly those in run-off or with blocks of reserves that are no longer core to those companies' operations, working with clients to develop and implement finality solutions including acquiring entire companies. Having completed the capital commitment made to GLS in November 2020, Maiden did not commit any additional capital to</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new opportunities and continues to run-off the existing accounts underwritten by GLS. GLS continues to wind down the remaining open accounts, with one reinsurance agreement remaining open and one entity completing its run-off.</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Short-term income protection business was written on a primary basis by our wholly owned subsidiaries Maiden Life Försäkrings AB ("Maiden LF") and</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Maiden General Försäkrings AB ("Maiden GF") in the Scandinavian and Northern European markets. On November 29, 2024, Maiden entered into an agreement to sell its Swedish subsidiaries, Maiden LF and Maiden GF to a group of international insurance and reinsurance companies headquartered in the United Kingdom. Maiden GF and Maiden LF were the principal operating subsidiaries of the Company’s International Insurance Services (“IIS”) platform.</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 transaction was subject to customary regulatory approvals. In June 2025, the Swedish Financial Supervisory Authority (“SFSA”) declined to approve the sale of Maiden GF and Maiden LF. The proposed acquirer, whose application was denied by the SFSA, has subsequently indicated its intent to proceed with the acquisition of only Maiden GF at the previously agreed valuation and believes it will satisfactorily address the deficiencies identified by the SFSA</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 its June 2025 decision. Maiden and the proposed acquirer are currently in the process of finalizing the terms of an amended sale agreement and this transaction is subject to customary regulatory approvals.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(continued)</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sale will continue to be an all-cash transaction and pursuant to the proposed terms of the agreement, certain existing staff of Maiden GF will</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transition to the proposed acquirer. In the wake of the decision of the SFSA, management continues to evaluate strategic alternatives for that business, including a possible sale to a different third-party or a possible run-off and liquidation of the entity. Maiden LF and Maiden GF are not writing any new business and their non-insurance related assets and liabilities are represented as held-for-sale in our condensed consolidated financial statements. Please refer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i w:val="1"/>
          <w:iCs w:val="1"/>
          <w:color w:val="auto"/>
        </w:rPr>
        <w:t>"Note 14. Assets Held for Sale"</w:t>
      </w:r>
      <w:r>
        <w:rPr>
          <w:rFonts w:ascii="Times New Roman" w:cs="Times New Roman" w:eastAsia="Times New Roman" w:hAnsi="Times New Roman"/>
          <w:sz w:val="18"/>
          <w:szCs w:val="18"/>
          <w:color w:val="auto"/>
        </w:rPr>
        <w:t xml:space="preserve"> for additional information regarding the effect of the pending transactions on the Company's Condensed Consolidated Financial Statements.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Except as explicitly described as held for sale or as discontinued operations, and unless otherwise noted, all discussions and amounts presented herein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relate to the Company's continuing operations except for net income, net income attributable to Kestrel and net income attributable to Kestrel common shareholders.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contains a description of the Company's significant accounting policies for the six months ended June 30, 2025:</w:t>
      </w:r>
    </w:p>
    <w:p>
      <w:pPr>
        <w:spacing w:after="0" w:line="73"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7"/>
          <w:szCs w:val="17"/>
          <w:i w:val="1"/>
          <w:iCs w:val="1"/>
          <w:color w:val="auto"/>
        </w:rPr>
        <w:t xml:space="preserve">Basis of Reporting and Consolidation </w:t>
      </w:r>
      <w:r>
        <w:rPr>
          <w:rFonts w:ascii="Times New Roman" w:cs="Times New Roman" w:eastAsia="Times New Roman" w:hAnsi="Times New Roman"/>
          <w:sz w:val="17"/>
          <w:szCs w:val="17"/>
          <w:color w:val="auto"/>
        </w:rPr>
        <w:t>— These Consolidated Financial Statements have been prepared in conformity with accounting principles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accepted in the U.S. ("U.S. GAAP") and include the accounts of Kestrel Group and all of its subsidiaries. These Consolidated Financial Statements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reflect all adjustments that are, in the opinion of management, necessary for a fair presentation of the results for the period and all such adjustments are of a normal recurring nature. All significant intercompany transactions and accounts have been eliminated. Certain prior year comparatives have been reclassified to conform to the current year presentation. The effect of these reclassifications had no impact on previously reported shareholders' equity or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financial reporting purposes, the net assets of Kestrel Group are stated at historical carrying values and its condensed consolidated financial</w:t>
      </w:r>
    </w:p>
    <w:p>
      <w:pPr>
        <w:jc w:val="both"/>
        <w:spacing w:after="0" w:line="194" w:lineRule="auto"/>
        <w:rPr>
          <w:sz w:val="20"/>
          <w:szCs w:val="20"/>
          <w:color w:val="auto"/>
        </w:rPr>
      </w:pPr>
      <w:r>
        <w:rPr>
          <w:rFonts w:ascii="Times New Roman" w:cs="Times New Roman" w:eastAsia="Times New Roman" w:hAnsi="Times New Roman"/>
          <w:sz w:val="18"/>
          <w:szCs w:val="18"/>
          <w:color w:val="auto"/>
        </w:rPr>
        <w:t>statements are presented as the predecessor to the combined company in the historical financial statements following consummation of the transaction on May 27, 2025. The assets and liabilities of Maiden are recorded at their fair values measured as of the acquisition date. The operating results of Maiden are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only presented within the consolidated results of Kestrel from the date of acquisition going forward. Please refer to </w:t>
      </w:r>
      <w:r>
        <w:rPr>
          <w:rFonts w:ascii="Times New Roman" w:cs="Times New Roman" w:eastAsia="Times New Roman" w:hAnsi="Times New Roman"/>
          <w:sz w:val="18"/>
          <w:szCs w:val="18"/>
          <w:i w:val="1"/>
          <w:iCs w:val="1"/>
          <w:color w:val="auto"/>
        </w:rPr>
        <w:t>Note 15. Business Combination</w:t>
      </w:r>
      <w:r>
        <w:rPr>
          <w:rFonts w:ascii="Times New Roman" w:cs="Times New Roman" w:eastAsia="Times New Roman" w:hAnsi="Times New Roman"/>
          <w:sz w:val="18"/>
          <w:szCs w:val="18"/>
          <w:color w:val="auto"/>
        </w:rPr>
        <w:t xml:space="preserve"> for additional details regarding the accounting treatment for the Combination Agreement.</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Estimates </w:t>
      </w:r>
      <w:r>
        <w:rPr>
          <w:rFonts w:ascii="Times New Roman" w:cs="Times New Roman" w:eastAsia="Times New Roman" w:hAnsi="Times New Roman"/>
          <w:sz w:val="18"/>
          <w:szCs w:val="18"/>
          <w:color w:val="auto"/>
        </w:rPr>
        <w:t>— The preparation of U.S. GAAP Consolidated Financial Statements requires management to make estimates and assumptions that affect the</w:t>
      </w:r>
    </w:p>
    <w:p>
      <w:pPr>
        <w:spacing w:after="0" w:line="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reported and disclosed amounts of assets and liabilities and disclosure of contingent assets and liabilities at the date of the Consolidated Financial Statements and the reported amounts of revenues and expenses during the reporting period. Actual results could materially differ from those estimates. The significant estimates include, but are not limited to, reserve for loss and loss adjustment expenses ("loss and LAE"); unearned premium for AmTrust, recoverability of</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reinsurance balances receivable, reinsurance recoverable on unpaid losses, and funds withheld receivable; valuation of financial instruments and deferred tax assets; and the determination of an allowance for estimated credit losses on certain types of financial instruments which requires consideration of a broader range of reasonable and supportable information to inform credit loss estimates. Other significant estimates are related to the Combination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including the value of business acquired ("VOBA") and the earn out liability, both of which are discussed in </w:t>
      </w:r>
      <w:r>
        <w:rPr>
          <w:rFonts w:ascii="Times New Roman" w:cs="Times New Roman" w:eastAsia="Times New Roman" w:hAnsi="Times New Roman"/>
          <w:sz w:val="18"/>
          <w:szCs w:val="18"/>
          <w:i w:val="1"/>
          <w:iCs w:val="1"/>
          <w:color w:val="auto"/>
        </w:rPr>
        <w:t>Note 15. Business Combination.</w:t>
      </w:r>
    </w:p>
    <w:p>
      <w:pPr>
        <w:spacing w:after="0" w:line="53" w:lineRule="exact"/>
        <w:rPr>
          <w:sz w:val="20"/>
          <w:szCs w:val="20"/>
          <w:color w:val="auto"/>
        </w:rPr>
      </w:pPr>
    </w:p>
    <w:p>
      <w:pPr>
        <w:jc w:val="both"/>
        <w:ind w:firstLine="241"/>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These investments are comprised of securities due to mature within one year of the date of purchase. The Company held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short-term investments as at June 30, 2025 and 2024.</w:t>
      </w:r>
    </w:p>
    <w:p>
      <w:pPr>
        <w:spacing w:after="0" w:line="6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 Equity securities currently include privately held common and preferred stocks. Privately held common and preferred stocks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valued using significant inputs that are unobservable where there is little or no market activity. Unadjusted third party pricing sources or management's assumptions and internal valuation models may be used to determine their fair values. For investments without a readily determinable fair value, the</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measurement alternative can be elected to report the qualifying investment at cost, less impairment if any, plus or minus observable price changes in orderly transactions for an identical or similar investment of the same issuer.</w:t>
      </w:r>
    </w:p>
    <w:p>
      <w:pPr>
        <w:spacing w:after="0" w:line="47"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 The Company accounts for its other investments at fair value in accordance with Financial Accounting Standards Board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Codification ("ASC") ASC 321</w:t>
      </w:r>
      <w:r>
        <w:rPr>
          <w:rFonts w:ascii="Times New Roman" w:cs="Times New Roman" w:eastAsia="Times New Roman" w:hAnsi="Times New Roman"/>
          <w:sz w:val="18"/>
          <w:szCs w:val="18"/>
          <w:i w:val="1"/>
          <w:iCs w:val="1"/>
          <w:color w:val="auto"/>
        </w:rPr>
        <w:t>, Investments – Equity Securities</w:t>
      </w:r>
      <w:r>
        <w:rPr>
          <w:rFonts w:ascii="Times New Roman" w:cs="Times New Roman" w:eastAsia="Times New Roman" w:hAnsi="Times New Roman"/>
          <w:sz w:val="18"/>
          <w:szCs w:val="18"/>
          <w:color w:val="auto"/>
        </w:rPr>
        <w:t xml:space="preserve"> ("ASC 321"). Other investments are comprised of the following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types of investments:</w:t>
      </w:r>
    </w:p>
    <w:p>
      <w:pPr>
        <w:spacing w:after="0" w:line="55" w:lineRule="exact"/>
        <w:rPr>
          <w:sz w:val="20"/>
          <w:szCs w:val="20"/>
          <w:color w:val="auto"/>
        </w:rPr>
      </w:pPr>
    </w:p>
    <w:p>
      <w:pPr>
        <w:jc w:val="right"/>
        <w:ind w:left="580"/>
        <w:spacing w:after="0" w:line="221" w:lineRule="auto"/>
        <w:rPr>
          <w:sz w:val="20"/>
          <w:szCs w:val="20"/>
          <w:color w:val="auto"/>
        </w:rPr>
      </w:pPr>
      <w:r>
        <w:rPr>
          <w:rFonts w:ascii="Times New Roman" w:cs="Times New Roman" w:eastAsia="Times New Roman" w:hAnsi="Times New Roman"/>
          <w:sz w:val="18"/>
          <w:szCs w:val="18"/>
          <w:color w:val="auto"/>
        </w:rPr>
        <w:t>•Privately held equity investments: These are direct equity investments in common and preferred stock of privately held entities. The fair values are estimated using guideline public company data to determine a price-to-book ratio trading multiple which was applied to book values shown on the</w:t>
      </w:r>
    </w:p>
    <w:p>
      <w:pPr>
        <w:spacing w:after="0" w:line="1" w:lineRule="exact"/>
        <w:rPr>
          <w:sz w:val="20"/>
          <w:szCs w:val="20"/>
          <w:color w:val="auto"/>
        </w:rPr>
      </w:pP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quarterly financial statements as well as recent private market transactions. These investments are also comprised of investments in insurtech and other insurance focused companies. The fair value of start-up insurance entities are determined using recent private market transactions where applicable. Any changes in fair value are reported in net realized and unrealized gains (losses) and recognized in net earnings.</w:t>
      </w:r>
    </w:p>
    <w:p>
      <w:pPr>
        <w:spacing w:after="0" w:line="62" w:lineRule="exact"/>
        <w:rPr>
          <w:sz w:val="20"/>
          <w:szCs w:val="20"/>
          <w:color w:val="auto"/>
        </w:rPr>
      </w:pPr>
    </w:p>
    <w:p>
      <w:pPr>
        <w:jc w:val="both"/>
        <w:ind w:left="660" w:hanging="79"/>
        <w:spacing w:after="0" w:line="224" w:lineRule="auto"/>
        <w:rPr>
          <w:sz w:val="20"/>
          <w:szCs w:val="20"/>
          <w:color w:val="auto"/>
        </w:rPr>
      </w:pPr>
      <w:r>
        <w:rPr>
          <w:rFonts w:ascii="Times New Roman" w:cs="Times New Roman" w:eastAsia="Times New Roman" w:hAnsi="Times New Roman"/>
          <w:sz w:val="18"/>
          <w:szCs w:val="18"/>
          <w:color w:val="auto"/>
        </w:rPr>
        <w:t>•Private credit funds: These are privately held equity investments in limited partnerships or common stock of entities that lend money valued using the most recently available or quarterly net asset value ("NAV") statements as provided by the external fund manager or third-party administrator. Any changes in fair value are reported in realized gains (losses) and recognized in net earnings.</w:t>
      </w:r>
    </w:p>
    <w:p>
      <w:pPr>
        <w:spacing w:after="0" w:line="64" w:lineRule="exact"/>
        <w:rPr>
          <w:sz w:val="20"/>
          <w:szCs w:val="20"/>
          <w:color w:val="auto"/>
        </w:rPr>
      </w:pPr>
    </w:p>
    <w:p>
      <w:pPr>
        <w:jc w:val="both"/>
        <w:ind w:left="660" w:hanging="79"/>
        <w:spacing w:after="0" w:line="224" w:lineRule="auto"/>
        <w:rPr>
          <w:sz w:val="20"/>
          <w:szCs w:val="20"/>
          <w:color w:val="auto"/>
        </w:rPr>
      </w:pPr>
      <w:r>
        <w:rPr>
          <w:rFonts w:ascii="Times New Roman" w:cs="Times New Roman" w:eastAsia="Times New Roman" w:hAnsi="Times New Roman"/>
          <w:sz w:val="18"/>
          <w:szCs w:val="18"/>
          <w:color w:val="auto"/>
        </w:rPr>
        <w:t>•Private equity funds: These are comprised of private equity funds, private equity co-investments with sponsoring entities and investments in real estate limited partnerships and joint ventures. The fair value is estimated based on the most recently available NAV as advised by the external fund manager or third-party administrator. Any changes in fair value are reported in realized gains (losses) and recognized in net earnings.</w:t>
      </w:r>
    </w:p>
    <w:p>
      <w:pPr>
        <w:spacing w:after="0" w:line="64" w:lineRule="exact"/>
        <w:rPr>
          <w:sz w:val="20"/>
          <w:szCs w:val="20"/>
          <w:color w:val="auto"/>
        </w:rPr>
      </w:pPr>
    </w:p>
    <w:p>
      <w:pPr>
        <w:jc w:val="both"/>
        <w:ind w:left="660" w:hanging="79"/>
        <w:spacing w:after="0" w:line="236" w:lineRule="auto"/>
        <w:rPr>
          <w:sz w:val="20"/>
          <w:szCs w:val="20"/>
          <w:color w:val="auto"/>
        </w:rPr>
      </w:pPr>
      <w:r>
        <w:rPr>
          <w:rFonts w:ascii="Times New Roman" w:cs="Times New Roman" w:eastAsia="Times New Roman" w:hAnsi="Times New Roman"/>
          <w:sz w:val="18"/>
          <w:szCs w:val="18"/>
          <w:color w:val="auto"/>
        </w:rPr>
        <w:t>•Investments in direct lending entities: These investments are carried at their fair market value with any changes in fair value reported in realized gains (losses) during the period.</w:t>
      </w:r>
    </w:p>
    <w:p>
      <w:pPr>
        <w:spacing w:after="0" w:line="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•Equity method investments: The Company elected the fair value option for certain of its equity method investments, and these investments are</w:t>
      </w:r>
    </w:p>
    <w:p>
      <w:pPr>
        <w:spacing w:after="0" w:line="1" w:lineRule="exact"/>
        <w:rPr>
          <w:sz w:val="20"/>
          <w:szCs w:val="20"/>
          <w:color w:val="auto"/>
        </w:rPr>
      </w:pPr>
    </w:p>
    <w:p>
      <w:pPr>
        <w:ind w:left="660"/>
        <w:spacing w:after="0" w:line="224" w:lineRule="auto"/>
        <w:rPr>
          <w:sz w:val="20"/>
          <w:szCs w:val="20"/>
          <w:color w:val="auto"/>
        </w:rPr>
      </w:pPr>
      <w:r>
        <w:rPr>
          <w:rFonts w:ascii="Times New Roman" w:cs="Times New Roman" w:eastAsia="Times New Roman" w:hAnsi="Times New Roman"/>
          <w:sz w:val="18"/>
          <w:szCs w:val="18"/>
          <w:color w:val="auto"/>
        </w:rPr>
        <w:t>reported at their fair values with any changes in fair value reported in realized and unrealized gains (losses) during the period. These are included in Level 3 of the fair value hierarchy due to unobservable market data used for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The valuation of other investments is further described in </w:t>
      </w:r>
      <w:r>
        <w:rPr>
          <w:rFonts w:ascii="Times New Roman" w:cs="Times New Roman" w:eastAsia="Times New Roman" w:hAnsi="Times New Roman"/>
          <w:sz w:val="17"/>
          <w:szCs w:val="17"/>
          <w:i w:val="1"/>
          <w:iCs w:val="1"/>
          <w:color w:val="auto"/>
        </w:rPr>
        <w:t>Note 5 — Fair Value Measurements</w:t>
      </w:r>
      <w:r>
        <w:rPr>
          <w:rFonts w:ascii="Times New Roman" w:cs="Times New Roman" w:eastAsia="Times New Roman" w:hAnsi="Times New Roman"/>
          <w:sz w:val="17"/>
          <w:szCs w:val="17"/>
          <w:color w:val="auto"/>
        </w:rPr>
        <w:t>. Due to a lag in the valuations of certain funds reported by</w:t>
      </w:r>
    </w:p>
    <w:p>
      <w:pPr>
        <w:spacing w:after="0" w:line="1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spacing w:after="0" w:line="60"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Equity Method Investments </w:t>
      </w:r>
      <w:r>
        <w:rPr>
          <w:rFonts w:ascii="Times New Roman" w:cs="Times New Roman" w:eastAsia="Times New Roman" w:hAnsi="Times New Roman"/>
          <w:sz w:val="17"/>
          <w:szCs w:val="17"/>
          <w:color w:val="auto"/>
        </w:rPr>
        <w:t>— Investments in which the Company has significant influence over the operating and financial policies of the investee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classified as equity method investments and accounted for using the equity method of accounting. In applying the equity method of accounting, investments are initially recorded at cost and are subsequently adjusted based on the Company’s proportionate share of the investee's net income or loss, net of any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contributions and distributions received. Adjustments are based on the most recent available financial information from the investee. Changes in the carrying value of equity method investments are recorded in net income (loss) as the interest in income (loss) of equity method investments. The Company records its share of the investee’s other comprehensive income ("OCI") activity based on its proportionate share of the investee's common stock or capital, and books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any OCI activity directly to the equity method investments account, with the offset recorded to the Company's accumulated other comprehensive income ("AOCI").</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Fixed Maturity Investments </w:t>
      </w:r>
      <w:r>
        <w:rPr>
          <w:rFonts w:ascii="Times New Roman" w:cs="Times New Roman" w:eastAsia="Times New Roman" w:hAnsi="Times New Roman"/>
          <w:sz w:val="17"/>
          <w:szCs w:val="17"/>
          <w:color w:val="auto"/>
        </w:rPr>
        <w:t>— The Company classifies its fixed maturity investments as available-for-sale ("AFS"). The AFS portfolio is reported at fair</w:t>
      </w:r>
    </w:p>
    <w:p>
      <w:pPr>
        <w:spacing w:after="0" w:line="14"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value and any unrealized gains or losses are reported as a component of accumulated other comprehensive income ("AOCI") in shareholders' equity. The fair value of fixed maturity investments is generally determined from quotations received from third-party nationally recognized pricing services ("Pricing Service"), or when such prices are not available, by reference to broker or underwriter bid indications.</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Purchases and sales of investments are recorded on a trade date basis. Realized gains or losses on investment sales are determined based on the first in first out cost method. Net investment income is recognized when earned and includes accrued interest and dividend income together with amortization of market premiums and discounts using the constant yield method, net of investment management fees.</w:t>
      </w:r>
    </w:p>
    <w:p>
      <w:pPr>
        <w:spacing w:after="0" w:line="64"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For U.S. government agency mortgage-backed securities ("Agency MBS") and any other holdings for which there is a prepayment risk, prepayment assumptions are evaluated and revised as necessary. Any changes required due to movements in effective yields and maturities are recognized on a prospective basis through yield adjustments.</w:t>
      </w:r>
    </w:p>
    <w:p>
      <w:pPr>
        <w:spacing w:after="0" w:line="64"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A security is potentially impaired when its fair value falls below its amortized cost. 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will not be required to sell the security before its anticipated recovery, an allowance for expected credit losses is established and the portion of the loss relating to credit factors is recorded in net income (loss). The non-credit impairment amount of the loss (which could be related to interest rates and/or market conditions) is recognized in other comprehensive income.</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To estimate the allowance for expected credit losses for most of the AFS securities, the Company analyzes projected cash flows which are primarily 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by the U.S. government are not analyzed for credit losses. The Company has concluded that any possibility of a credit loss on these securities is highly 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w:t>
      </w:r>
    </w:p>
    <w:p>
      <w:pPr>
        <w:spacing w:after="0"/>
        <w:rPr>
          <w:sz w:val="20"/>
          <w:szCs w:val="20"/>
          <w:color w:val="auto"/>
        </w:rPr>
      </w:pPr>
      <w:r>
        <w:rPr>
          <w:rFonts w:ascii="Times New Roman" w:cs="Times New Roman" w:eastAsia="Times New Roman" w:hAnsi="Times New Roman"/>
          <w:sz w:val="18"/>
          <w:szCs w:val="18"/>
          <w:color w:val="auto"/>
        </w:rPr>
        <w:t>for impairment based on the Company's intention to sell and likely to sell requirement.</w:t>
      </w:r>
    </w:p>
    <w:p>
      <w:pPr>
        <w:spacing w:after="0" w:line="55"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As the Company's fixed maturity investment portfolio is a large component of its consolidated assets, any impairment of fixed maturity securities could be material to the Company's financial condition and results particularly during periods of dislocation in the financial markets.</w:t>
      </w:r>
    </w:p>
    <w:p>
      <w:pPr>
        <w:spacing w:after="0" w:line="6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Measurements </w:t>
      </w:r>
      <w:r>
        <w:rPr>
          <w:rFonts w:ascii="Times New Roman" w:cs="Times New Roman" w:eastAsia="Times New Roman" w:hAnsi="Times New Roman"/>
          <w:sz w:val="18"/>
          <w:szCs w:val="18"/>
          <w:color w:val="auto"/>
        </w:rPr>
        <w:t>— ASC Topic 820,</w:t>
      </w:r>
      <w:r>
        <w:rPr>
          <w:rFonts w:ascii="Times New Roman" w:cs="Times New Roman" w:eastAsia="Times New Roman" w:hAnsi="Times New Roman"/>
          <w:sz w:val="18"/>
          <w:szCs w:val="18"/>
          <w:i w:val="1"/>
          <w:iCs w:val="1"/>
          <w:color w:val="auto"/>
        </w:rPr>
        <w:t xml:space="preserve"> "Fair Value Measurements and Disclosures" </w:t>
      </w:r>
      <w:r>
        <w:rPr>
          <w:rFonts w:ascii="Times New Roman" w:cs="Times New Roman" w:eastAsia="Times New Roman" w:hAnsi="Times New Roman"/>
          <w:sz w:val="18"/>
          <w:szCs w:val="18"/>
          <w:color w:val="auto"/>
        </w:rPr>
        <w:t>("ASC 820") defines fair value as the price that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upon the sale of an asset or paid to transfer a liability in an orderly transaction between open market participants at the measurement date. Additionally, ASC 820 establishes a hierarchy for inputs used in measuring fair value that maximizes the use of observable inputs and minimizes the use of</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unobservable inputs by requiring that the most observable inputs be used when available. The hierarchy is broken down into three levels based on the reliability of inputs:</w:t>
      </w:r>
    </w:p>
    <w:p>
      <w:pPr>
        <w:spacing w:after="0" w:line="47" w:lineRule="exact"/>
        <w:rPr>
          <w:sz w:val="20"/>
          <w:szCs w:val="20"/>
          <w:color w:val="auto"/>
        </w:rPr>
      </w:pPr>
    </w:p>
    <w:p>
      <w:pPr>
        <w:jc w:val="both"/>
        <w:ind w:left="480" w:hanging="151"/>
        <w:spacing w:after="0" w:line="230" w:lineRule="auto"/>
        <w:tabs>
          <w:tab w:leader="none" w:pos="4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based on unadjusted quoted market prices for identical assets or liabilities that we have the ability to access. Because valuations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based on quoted prices that are readily and regularly available in an active market, valuation of these products does not entail a significant degree of judgment. Examples of assets and liabilities utilizing Level 1 inputs include: U.S. Treasury bonds;</w:t>
      </w:r>
    </w:p>
    <w:p>
      <w:pPr>
        <w:spacing w:after="0" w:line="48" w:lineRule="exact"/>
        <w:rPr>
          <w:rFonts w:ascii="Times New Roman" w:cs="Times New Roman" w:eastAsia="Times New Roman" w:hAnsi="Times New Roman"/>
          <w:sz w:val="18"/>
          <w:szCs w:val="18"/>
          <w:color w:val="auto"/>
        </w:rPr>
      </w:pPr>
    </w:p>
    <w:p>
      <w:pPr>
        <w:jc w:val="both"/>
        <w:ind w:left="480" w:hanging="151"/>
        <w:spacing w:after="0" w:line="230" w:lineRule="auto"/>
        <w:tabs>
          <w:tab w:leader="none" w:pos="4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based on quoted prices for similar assets or liabilities in active markets, quoted prices for identical assets or liabilities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inactive markets, or valuations based on models where the significant inputs are observable (e.g. interest rates, yield curves, prepayment speeds, default rates, loss severity, etc.) or can be corroborated by observable market data.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left="340" w:hanging="17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78" w:lineRule="exact"/>
        <w:rPr>
          <w:rFonts w:ascii="Times New Roman" w:cs="Times New Roman" w:eastAsia="Times New Roman" w:hAnsi="Times New Roman"/>
          <w:sz w:val="18"/>
          <w:szCs w:val="18"/>
          <w:b w:val="1"/>
          <w:bCs w:val="1"/>
          <w:color w:val="auto"/>
        </w:rPr>
      </w:pPr>
    </w:p>
    <w:p>
      <w:pPr>
        <w:jc w:val="both"/>
        <w:ind w:left="480" w:hanging="151"/>
        <w:spacing w:after="0" w:line="230" w:lineRule="auto"/>
        <w:tabs>
          <w:tab w:leader="none" w:pos="4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spacing w:after="0" w:line="46" w:lineRule="exact"/>
        <w:rPr>
          <w:rFonts w:ascii="Times New Roman" w:cs="Times New Roman" w:eastAsia="Times New Roman" w:hAnsi="Times New Roman"/>
          <w:sz w:val="18"/>
          <w:szCs w:val="18"/>
          <w:color w:val="auto"/>
        </w:rPr>
      </w:pPr>
    </w:p>
    <w:p>
      <w:pPr>
        <w:jc w:val="both"/>
        <w:ind w:left="480" w:hanging="151"/>
        <w:spacing w:after="0" w:line="230" w:lineRule="auto"/>
        <w:tabs>
          <w:tab w:leader="none" w:pos="475" w:val="left"/>
        </w:tabs>
        <w:numPr>
          <w:ilvl w:val="1"/>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based on models where significant inputs are not observable. The unobservable inputs reflect our own assumptions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availability of observable inputs can vary and is affected by a wide variety of factors, including, for example, the type of financial instrument,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whether the financial instrument is new and not yet established in the marketplace, and other characteristics particular to the applicable transaction. To the extent that valuation is based on models or inputs that are less observable or unobservable in the market, the determination of fair value requires significantly more judgment. Accordingly, the degree of judgment exercised by management in determining fair value is greatest for instruments categorized</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7"/>
          <w:szCs w:val="17"/>
          <w:color w:val="auto"/>
        </w:rPr>
        <w:t>in the Level 3 hierarchy. The Company uses prices and inputs that are current as at the measurement date. In periods of market dislocation, the observability of prices and inputs may be reduced for many instruments. This condition could cause a financial instrument to be reclassified between hierarchy levels.</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investments that have quoted market prices in active markets, the Company uses the quoted market prices as fair value and includes these in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Level 1 hierarchy. The Company receives quoted market prices from a third party nationally recognized Pricing Service. When quoted 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 If quoted market prices and an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estimate from the Pricing Service are unavailable, the Company produces an estimate of fair value based on dealer quotations for recent activity in positions with the same or similar characteristics to that investment being valued.</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determines whether the fair value estimate is in the Level 2 or Level 3 hierarchy depending on the level of observable inputs available</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when estimating the fair value. The Company bases its estimates of fair values for assets on the bid price as it represents what a third party market participant would be willing to pay in an orderly transaction.</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ASC 825-10: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provides a measurement basis election for most financial instruments using a choice of either historical cost or fair</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value, including equity method investments, allowing reporting entities to mitigate potential mismatches that arise under the current mixed measurement attribute model. In connection with the Combination Agreement on May 27, 2025, the assets and liabilities of Maiden were recorded at their fair values measured as of the acquisition date. The Company has elected the fair value option for certain equity method investments and direct lending investments,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these investments are reported at their fair values as of June 30, 2025. Please see </w:t>
      </w:r>
      <w:r>
        <w:rPr>
          <w:rFonts w:ascii="Times New Roman" w:cs="Times New Roman" w:eastAsia="Times New Roman" w:hAnsi="Times New Roman"/>
          <w:sz w:val="18"/>
          <w:szCs w:val="18"/>
          <w:i w:val="1"/>
          <w:iCs w:val="1"/>
          <w:color w:val="auto"/>
        </w:rPr>
        <w:t>Note 4 (b). Investments</w:t>
      </w:r>
      <w:r>
        <w:rPr>
          <w:rFonts w:ascii="Times New Roman" w:cs="Times New Roman" w:eastAsia="Times New Roman" w:hAnsi="Times New Roman"/>
          <w:sz w:val="18"/>
          <w:szCs w:val="18"/>
          <w:color w:val="auto"/>
        </w:rPr>
        <w:t xml:space="preserve"> for further details.</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maintains cash accounts in several banks and brokerage institutions. Cash equivalents consist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money market funds and short-term investments with an original maturity of 90 days or less and are stated at cost, which approximates fair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value. Restricted cash and cash equivalents are separately reported in the Consolidated Balance Sheets. The Company maintains certain cash and investments in trust accounts used primarily as collateral for unearned premiums and loss and LAE reserves owed to insureds. The Company is required to maintain minimum balances in these restricted accounts based on pre-determined formulas. Please see "</w:t>
      </w:r>
      <w:r>
        <w:rPr>
          <w:rFonts w:ascii="Times New Roman" w:cs="Times New Roman" w:eastAsia="Times New Roman" w:hAnsi="Times New Roman"/>
          <w:sz w:val="18"/>
          <w:szCs w:val="18"/>
          <w:i w:val="1"/>
          <w:iCs w:val="1"/>
          <w:color w:val="auto"/>
        </w:rPr>
        <w:t>Note 4. (e) Investments</w:t>
      </w:r>
      <w:r>
        <w:rPr>
          <w:rFonts w:ascii="Times New Roman" w:cs="Times New Roman" w:eastAsia="Times New Roman" w:hAnsi="Times New Roman"/>
          <w:sz w:val="18"/>
          <w:szCs w:val="18"/>
          <w:color w:val="auto"/>
        </w:rPr>
        <w:t>" for further details.</w:t>
      </w:r>
    </w:p>
    <w:p>
      <w:pPr>
        <w:spacing w:after="0" w:line="60"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7"/>
          <w:szCs w:val="17"/>
          <w:i w:val="1"/>
          <w:iCs w:val="1"/>
          <w:color w:val="auto"/>
        </w:rPr>
        <w:t xml:space="preserve">Premiums and Related Expenses </w:t>
      </w:r>
      <w:r>
        <w:rPr>
          <w:rFonts w:ascii="Times New Roman" w:cs="Times New Roman" w:eastAsia="Times New Roman" w:hAnsi="Times New Roman"/>
          <w:sz w:val="17"/>
          <w:szCs w:val="17"/>
          <w:color w:val="auto"/>
        </w:rPr>
        <w:t>— For pro-rata contracts and excess-of-loss contracts where no deposit or minimum premium is specified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premium written is recognized based on estimates of ultimate premiums provided by the ceding companies. Initial estimates of premium written are recognized in the period in which the underlying risks are incepted. Subsequent adjustments, based on reports of actual premium by the ceding companies, or revisions in estimates, are recorded in the period in which they are determined. Reinsurance premiums assumed are generally earned on a pro-</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rata basis over the terms of the underlying policies or reinsurance contracts. Contracts and policies written on a "losses occurring" basis cover claims that may occur during the term of the contract or policy, which is typically twelve months. Accordingly, the premium is earned evenly over the term. Contracts which are written on a "risks attaching" basis cover claims which attach to the underlying insurance policies written during the terms of such contracts.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Premiums earned on such contracts usually extend beyond the original term of the reinsurance contract, typically resulting in recognition of premiums earned over a 24-month period.</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Reinsurance premiums on specialty risk and extended warranty are earned based on the estimated program coverage period. These estimates are based on</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 expected distribution of coverage periods by contract at inception, because a single contract may contain multiple coverage period options, and these estimates are revised based on the actual coverage period selected by the original insured. Unearned premiums represent the portion of premiums written which is applicable to the unexpired term of the contract or policy in force. These premiums can be subject to estimates based upon information received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ceding companies and any subsequent differences arising on such estimates are recorded in the period in which they are determined.</w:t>
      </w:r>
    </w:p>
    <w:p>
      <w:pPr>
        <w:spacing w:after="0" w:line="55" w:lineRule="exact"/>
        <w:rPr>
          <w:sz w:val="20"/>
          <w:szCs w:val="20"/>
          <w:color w:val="auto"/>
        </w:rPr>
      </w:pPr>
    </w:p>
    <w:p>
      <w:pPr>
        <w:jc w:val="both"/>
        <w:ind w:right="20" w:firstLine="241"/>
        <w:spacing w:after="0" w:line="236" w:lineRule="auto"/>
        <w:rPr>
          <w:sz w:val="20"/>
          <w:szCs w:val="20"/>
          <w:color w:val="auto"/>
        </w:rPr>
      </w:pPr>
      <w:r>
        <w:rPr>
          <w:rFonts w:ascii="Times New Roman" w:cs="Times New Roman" w:eastAsia="Times New Roman" w:hAnsi="Times New Roman"/>
          <w:sz w:val="18"/>
          <w:szCs w:val="18"/>
          <w:color w:val="auto"/>
        </w:rPr>
        <w:t>Assumed and ceded reinsurance contracts that lack a significant transfer of risk are treated as deposits. No deposit contracts are held as at June 30, 2025 and 2024.</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Acquisition expenses represent the costs of writing business that vary with, and are primarily related to, the production of that business. Policy and contract acquisition expenses, including assumed commissions, are deferred and recognized as expense as the related premiums are earned. The Company considers anticipated investment income in determining the recoverability of these costs and believes they are fully recoverable. A premium deficiency 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recognized if the sum of anticipated loss and LAE, unamortized acquisition expenses less anticipated investment income exceed unearned premiums.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Loss and LAE </w:t>
      </w:r>
      <w:r>
        <w:rPr>
          <w:rFonts w:ascii="Times New Roman" w:cs="Times New Roman" w:eastAsia="Times New Roman" w:hAnsi="Times New Roman"/>
          <w:sz w:val="18"/>
          <w:szCs w:val="18"/>
          <w:color w:val="auto"/>
        </w:rPr>
        <w:t>— Loss and LAE represent the estimated ultimate net costs of all reported and unreported losses incurred through December 31 of the</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latest fiscal year. The reserve for loss and LAE is estimated using a statistical analysis of actuarial data and is not discounted for the time value of money. Although considerable variability is inherent in the estimates of reserves for loss and LAE, management believes that the reserve for loss and LAE is adequate based on known information to date. In estimating loss reserves, the Company utilizes a variety of standard actuarial methods. These estimates are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continually reviewed and adjusted as necessary as experience develops or new information becomes available. Such adjustments are included and reported in current operations as favorable or unfavorable prior period development.</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i w:val="1"/>
          <w:iCs w:val="1"/>
          <w:color w:val="auto"/>
        </w:rPr>
        <w:t xml:space="preserve">Reinsurance </w:t>
      </w:r>
      <w:r>
        <w:rPr>
          <w:rFonts w:ascii="Times New Roman" w:cs="Times New Roman" w:eastAsia="Times New Roman" w:hAnsi="Times New Roman"/>
          <w:sz w:val="17"/>
          <w:szCs w:val="17"/>
          <w:color w:val="auto"/>
        </w:rPr>
        <w:t>— Reinsurance premiums and loss and LAE ceded to other companies are accounted for on a basis consistent with those used in accounting</w:t>
      </w:r>
    </w:p>
    <w:p>
      <w:pPr>
        <w:spacing w:after="0" w:line="14"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for original policies issued and pursuant to the terms of the reinsurance contracts. The Company records premiums earned and loss and LAE incurred and ceded to other companies as reduction of premium revenue and loss and LAE, respectively. The unexpired portion of reinsurance purchased by the Company (retrocession or reinsurance premiums ceded) is included in other assets and amortized over the contract period in proportion to the amount of insurance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protection provided. The ultimate amount of premiums, including adjustments, is recognized as premiums ceded and amortized over the applicable contract period to which they apply.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Premiums earned are reported net of reinsurance in the Consolidated Statements of Income. Reinsurance recoverable on unpaid losses relate to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portion of reserves and paid losses and LAE that are ceded to other companies. Reinsurance recoverable on unpaid losses are separately recorded as an asset in the Consolidated Balance Sheets. The Company remains contingently liable for all loss payments in the event of failure to collect from reinsurers.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Earn Out Liability </w:t>
      </w:r>
      <w:r>
        <w:rPr>
          <w:rFonts w:ascii="Times New Roman" w:cs="Times New Roman" w:eastAsia="Times New Roman" w:hAnsi="Times New Roman"/>
          <w:sz w:val="18"/>
          <w:szCs w:val="18"/>
          <w:color w:val="auto"/>
        </w:rPr>
        <w:t>— The fair value of the earn out consideration contingent liability was determined through a probability-weighted analysis of the</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expected future cash flows and other applicable valuation techniques. Any changes in the fair value of the earn out liability are charged to net income (loss) during the period. Please see details for the earn out liability in </w:t>
      </w:r>
      <w:r>
        <w:rPr>
          <w:rFonts w:ascii="Times New Roman" w:cs="Times New Roman" w:eastAsia="Times New Roman" w:hAnsi="Times New Roman"/>
          <w:sz w:val="18"/>
          <w:szCs w:val="18"/>
          <w:i w:val="1"/>
          <w:iCs w:val="1"/>
          <w:color w:val="auto"/>
        </w:rPr>
        <w:t>Note 11. Commitments and Contingencies</w:t>
      </w:r>
      <w:r>
        <w:rPr>
          <w:rFonts w:ascii="Times New Roman" w:cs="Times New Roman" w:eastAsia="Times New Roman" w:hAnsi="Times New Roman"/>
          <w:sz w:val="18"/>
          <w:szCs w:val="18"/>
          <w:color w:val="auto"/>
        </w:rPr>
        <w:t xml:space="preserve"> in the Notes to our Condensed Consolidated Financial Statements in this Form 10-Q.</w:t>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 The fair value of intangible assets includes two components acquired as a result of the Combination:</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•Value of business acquired </w:t>
      </w:r>
      <w:r>
        <w:rPr>
          <w:rFonts w:ascii="Times New Roman" w:cs="Times New Roman" w:eastAsia="Times New Roman" w:hAnsi="Times New Roman"/>
          <w:sz w:val="18"/>
          <w:szCs w:val="18"/>
          <w:color w:val="auto"/>
        </w:rPr>
        <w:t>("VOBA"): The value of business acquired replaced deferred acquisition costs in the fair value accounting required</w:t>
      </w:r>
    </w:p>
    <w:p>
      <w:pPr>
        <w:spacing w:after="0" w:line="3" w:lineRule="exact"/>
        <w:rPr>
          <w:sz w:val="20"/>
          <w:szCs w:val="20"/>
          <w:color w:val="auto"/>
        </w:rPr>
      </w:pPr>
    </w:p>
    <w:p>
      <w:pPr>
        <w:ind w:left="660"/>
        <w:spacing w:after="0" w:line="209" w:lineRule="auto"/>
        <w:rPr>
          <w:sz w:val="20"/>
          <w:szCs w:val="20"/>
          <w:color w:val="auto"/>
        </w:rPr>
      </w:pPr>
      <w:r>
        <w:rPr>
          <w:rFonts w:ascii="Times New Roman" w:cs="Times New Roman" w:eastAsia="Times New Roman" w:hAnsi="Times New Roman"/>
          <w:sz w:val="18"/>
          <w:szCs w:val="18"/>
          <w:color w:val="auto"/>
        </w:rPr>
        <w:t>under ASC 805. The VOBA asset reflects the expected profit or loss embedded in the unearned premium carried at the closing date and will be amortized over the earning pattern of the unearned premium reserve. The fair value of VOBA was determined after taking into consideration</w:t>
      </w:r>
    </w:p>
    <w:p>
      <w:pPr>
        <w:ind w:left="660"/>
        <w:spacing w:after="0" w:line="219" w:lineRule="auto"/>
        <w:rPr>
          <w:sz w:val="20"/>
          <w:szCs w:val="20"/>
          <w:color w:val="auto"/>
        </w:rPr>
      </w:pPr>
      <w:r>
        <w:rPr>
          <w:rFonts w:ascii="Times New Roman" w:cs="Times New Roman" w:eastAsia="Times New Roman" w:hAnsi="Times New Roman"/>
          <w:sz w:val="18"/>
          <w:szCs w:val="18"/>
          <w:color w:val="auto"/>
        </w:rPr>
        <w:t>certain key assumptions, including the estimated cost of capital, investment yield, loss ratio and related expenses. Please see details for the VOBA</w:t>
      </w:r>
    </w:p>
    <w:p>
      <w:pPr>
        <w:ind w:left="660"/>
        <w:spacing w:after="0" w:line="224"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Note 15. Business Combination</w:t>
      </w:r>
      <w:r>
        <w:rPr>
          <w:rFonts w:ascii="Times New Roman" w:cs="Times New Roman" w:eastAsia="Times New Roman" w:hAnsi="Times New Roman"/>
          <w:sz w:val="18"/>
          <w:szCs w:val="18"/>
          <w:color w:val="auto"/>
        </w:rPr>
        <w:t xml:space="preserve"> in the Notes to our Condensed Consolidated Financial Statements in this Form 10-Q which is recorded as part of Intangible Assets on the Condensed Consolidated Balance Sheets.</w:t>
      </w:r>
    </w:p>
    <w:p>
      <w:pPr>
        <w:spacing w:after="0" w:line="61" w:lineRule="exact"/>
        <w:rPr>
          <w:sz w:val="20"/>
          <w:szCs w:val="20"/>
          <w:color w:val="auto"/>
        </w:rPr>
      </w:pPr>
    </w:p>
    <w:p>
      <w:pPr>
        <w:jc w:val="both"/>
        <w:ind w:left="660" w:hanging="90"/>
        <w:spacing w:after="0" w:line="21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adjustment to historical loss reserves and LAE and reinsurance recoverable on unpaid losses: </w:t>
      </w:r>
      <w:r>
        <w:rPr>
          <w:rFonts w:ascii="Times New Roman" w:cs="Times New Roman" w:eastAsia="Times New Roman" w:hAnsi="Times New Roman"/>
          <w:sz w:val="18"/>
          <w:szCs w:val="18"/>
          <w:color w:val="auto"/>
        </w:rPr>
        <w:t>The adjustment to record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fair value of the reserve for loss and loss adjustment expenses and reinsurance recoverable on unpaid losses that were acquired under the Combination. This amount reflects a decrease to adjust to the present value of loss and loss adjustment expenses and reinsurance recoverable based on estimated payout patterns, partially offset by an increase in net loss and loss adjustment expenses to the estimated market-based risk margin. The risk margin represents the estimated cost of capital required by a market participant to assume the net loss and loss adjustment expenses. The fair value of the net reserve for loss and loss adjustment expenses was determined using certain key assumptions, including the estimated cost of capital and investment yield. This is amortized based on the claims settlement and timing of reinsurance recovery payments. Please see details for the fair value discount on reserves and recoverables in </w:t>
      </w:r>
      <w:r>
        <w:rPr>
          <w:rFonts w:ascii="Times New Roman" w:cs="Times New Roman" w:eastAsia="Times New Roman" w:hAnsi="Times New Roman"/>
          <w:sz w:val="18"/>
          <w:szCs w:val="18"/>
          <w:i w:val="1"/>
          <w:iCs w:val="1"/>
          <w:color w:val="auto"/>
        </w:rPr>
        <w:t>Note 15. Business Combination</w:t>
      </w:r>
      <w:r>
        <w:rPr>
          <w:rFonts w:ascii="Times New Roman" w:cs="Times New Roman" w:eastAsia="Times New Roman" w:hAnsi="Times New Roman"/>
          <w:sz w:val="18"/>
          <w:szCs w:val="18"/>
          <w:color w:val="auto"/>
        </w:rPr>
        <w:t xml:space="preserve"> in the Notes to our Condensed Consolidated Financial Statements in this Form 10-Q which is recorded as part of Intangible Assets on the Consolidated Balance Sheets.</w:t>
      </w:r>
    </w:p>
    <w:p>
      <w:pPr>
        <w:spacing w:after="0" w:line="66"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7"/>
          <w:szCs w:val="17"/>
          <w:i w:val="1"/>
          <w:iCs w:val="1"/>
          <w:color w:val="auto"/>
        </w:rPr>
        <w:t xml:space="preserve">Retroactive Reinsurance - </w:t>
      </w:r>
      <w:r>
        <w:rPr>
          <w:rFonts w:ascii="Times New Roman" w:cs="Times New Roman" w:eastAsia="Times New Roman" w:hAnsi="Times New Roman"/>
          <w:sz w:val="17"/>
          <w:szCs w:val="17"/>
          <w:color w:val="auto"/>
        </w:rPr>
        <w:t>Retroactive reinsurance agreements are those in which a reinsurer agrees to reimburse the ceding company for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as a result of past insurable loss events. We do not record any income or expense on recognition of the reinsurance contract's assets and liabilities at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inception, except for any gains realized as a result of bargain purchase acquisitions which are recorded as part of foreign exchange and other gains (losses) immediately in income. Any subsequent remeasurement of the value of liabilities is recorded to net loss and LAE in the Condensed Consolidated Statements of Income.</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For a ceded retroactive agreement, the excess of the amounts ultimately collectible under the agreement over the consideration paid is recognized as a deferred gain liability which is amortized into income over the settlement period of the ceded reserves once the paid losses have exceeded the minimum retention. The amount of the deferral is recalculated each period based on actual loss payments and updated estimates of ultimate losses. If the consideration</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paid exceeds the ultimate losses collectible under the agreement, the net loss on the retroactive reinsurance agreement is recognized within income immediately.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the inception of a run-off retroactive reinsurance contract, if the estimated undiscounted ultimate losses payable are in excess of the premiums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received, a deferred charge asset is recorded for the excess; whereas, if the premiums received are in excess of the estimated undiscounted ultimate losses payable, a deferred gain liability is recorded for the excess, such that we do not record any gain or loss at the inception of these retroactive reinsurance contracts. The premium consideration that we charge the ceding companies under retroactive reinsurance contracts may be lower than the undiscounted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estimated ultimate losses payable due to the time value of money. After receiving the premium consideration in full from cedents at the inception of the contract, we invest the premium received over an extended period of time, thereby generating investment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7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We expect to generate profits from these retroactive reinsurance contracts when taking into account the premium received and expected investment income, less contractual obligations and expenses.</w:t>
      </w:r>
    </w:p>
    <w:p>
      <w:pPr>
        <w:spacing w:after="0" w:line="41"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Deferred charge assets will be recorded in other assets (if and when applicable), and any deferred gain liabilities are shown separately in the Consolidated Balance Sheets, and amortized over the estimated claim payment period of the related contract with the periodic amortization reflected in income as a</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component of net loss and LAE. The amortization of deferred charge assets and deferred gain liabilities is adjusted at each reporting period to reflect new estimates of the amount and timing of remaining loss and LAE payments. Changes in the estimated amount and timing of payments of unpaid losses may have an effect on the unamortized deferred charge assets and deferred gain liabilities and the amount of periodic amortization.</w:t>
      </w:r>
    </w:p>
    <w:p>
      <w:pPr>
        <w:spacing w:after="0" w:line="60"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 The Company's leases are all classified as operating leases and none of them have non-lease components. For operating leases that have a lease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 of more than twelve months, the Company recognized a lease liability (presented as part of accrued expenses and other liabilities) and a right-of-use asset (presented as part of other assets) in the Consolidated Balance Sheets at the present value of the remaining lease payments until expiration. As the lease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contracts generally do not provide an implicit discount rate, the Company used a weighted-average discount rate of 7.1%, representing its estimated secured incremental borrowing rate, in calculating the present value of the lease liability. The Company has made an accounting policy election not to include renewal, termination, or purchase options that are not reasonably certain of exercise when determining the term of the borrowing. The Company recognizes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leasing expense on a straight-line basis over the effective lease term in the Company's Consolidated Statements of Income.</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Depreciable Fixed Assets - </w:t>
      </w:r>
      <w:r>
        <w:rPr>
          <w:rFonts w:ascii="Times New Roman" w:cs="Times New Roman" w:eastAsia="Times New Roman" w:hAnsi="Times New Roman"/>
          <w:sz w:val="18"/>
          <w:szCs w:val="18"/>
          <w:color w:val="auto"/>
        </w:rPr>
        <w:t>The Company's depreciable fixed assets consist of furniture and equipment, computer hardware and software,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renewals and betterments, which are capitalized at their original cost, while maintenance and repairs are expensed on a current basis. Depreciation on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furniture and equipment, computer hardware and software is computed using the straight-line method over the estimated useful life of the asset after provision for salvage value, if any. Leasehold improvements are capitalized and depreciated over the effective lease term or useful life, whichever is shorter, of the related leased assets.</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Amortization of computer software and leasehold improvements and depreciation of furniture, equipment and computer hardware are included within general and administrative expenses on the consolidated statements of income. Upon retirement or other disposal of fixed assets, the cost and related accumulated depreciation are removed from the respective fixed asset accounts and any gains or losses are included in the consolidated statements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The Company has certain reinsurance contracts that are accounted for as derivatives. These reinsurance contracts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to an insured or cedant as a result of a change in a variable as opposed to an identifiable insurable event. The Company considers these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contracts to be part of its underwriting operations. The derivatives are initially valued at cost which approximates fair value. In subsequent measurement periods, the fair values of the underwriting-related derivatives are determined using internally developed discounted cash flow models using appropriate discount rates. The selection of an appropriate discount rate is judgmental and is the most significant unobservable input used in the valuation of these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derivatives. A significant increase (decrease) in this input in isolation could result in a significantly lower (higher) fair value measurement for the derivative contract. The fair value changes in underwriting-related derivative instruments is included within other insurance (expense) revenue.</w:t>
      </w:r>
    </w:p>
    <w:p>
      <w:pPr>
        <w:spacing w:after="0" w:line="4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The underwriting-related derivative liability is presented as part of accrued expenses and other liabilities in the Condensed Consolidated Balance Sheets and adjusted as a non-cash item in net cash flows from operating activities in the Condensed Consolidated Statement of Cash Flows.</w:t>
      </w:r>
    </w:p>
    <w:p>
      <w:pPr>
        <w:spacing w:after="0" w:line="39"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accounts for income taxes using ASC Topic 740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subsidiaries operating in taxable jurisdictions.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income taxes reflect the expected future tax consequences of temporary differences between the carrying amounts of assets and liabilities for financial reporting purposes and amounts used for income tax purposes. A valuation allowance is recorded if it is more likely than not that some or all of a</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deferred tax asset may not be realized. The Company considers future taxable income and feasible tax planning strategies in assessing the need for a valuation allowance.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event the Company determines that it will not be able to realize all or part of its deferred income tax assets in the future, an adjustment to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deferred income tax assets would be charged to income in the period in which such determination is made. In addition, if the Company subsequently assesses that the valuation allowance is no longer needed, a benefit would be recorded to income in the period in which such determination is made. U.S. GAAP allows for the recognition of tax benefits of uncertain tax positions only where the position is more likely than not to be sustained assuming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examination by tax authorities.</w:t>
      </w:r>
    </w:p>
    <w:p>
      <w:pPr>
        <w:spacing w:after="0" w:line="55" w:lineRule="exact"/>
        <w:rPr>
          <w:sz w:val="20"/>
          <w:szCs w:val="20"/>
          <w:color w:val="auto"/>
        </w:rPr>
      </w:pPr>
    </w:p>
    <w:p>
      <w:pPr>
        <w:jc w:val="both"/>
        <w:ind w:right="20" w:firstLine="241"/>
        <w:spacing w:after="0" w:line="236" w:lineRule="auto"/>
        <w:rPr>
          <w:sz w:val="20"/>
          <w:szCs w:val="20"/>
          <w:color w:val="auto"/>
        </w:rPr>
      </w:pPr>
      <w:r>
        <w:rPr>
          <w:rFonts w:ascii="Times New Roman" w:cs="Times New Roman" w:eastAsia="Times New Roman" w:hAnsi="Times New Roman"/>
          <w:sz w:val="18"/>
          <w:szCs w:val="18"/>
          <w:color w:val="auto"/>
        </w:rPr>
        <w:t>A liability is established for any tax benefit claimed in a tax return in excess of this threshold. Income tax related interest and penalties would be included as income tax expense. The Company has not recorded or accrued any interest or penalties during the years ended June 30, 2025 and 2024.</w:t>
      </w:r>
    </w:p>
    <w:p>
      <w:pPr>
        <w:spacing w:after="0" w:line="60"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Share-Based Compensation Expense </w:t>
      </w:r>
      <w:r>
        <w:rPr>
          <w:rFonts w:ascii="Times New Roman" w:cs="Times New Roman" w:eastAsia="Times New Roman" w:hAnsi="Times New Roman"/>
          <w:sz w:val="17"/>
          <w:szCs w:val="17"/>
          <w:color w:val="auto"/>
        </w:rPr>
        <w:t>— Pursuant to the 2025 Equity Incentive Plan, the Company is authorized to issue restricted share awards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performance-based restricted shares, share options and other equity-based awards to its employees and directors. The Company recognizes the compensation expense for share options and restricted share grants based on the fair value of the award on the date of grant, over the requisite service vesting period.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Forfeitures are accounted for if and when they occur. The estimated fair value of the grant is amortized ratably over its vesting period as a charge to compensation expense (as a component of general and administrative expenses) and an increase to additional paid-in capital in the Condensed Consolidated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 (continued)</w:t>
      </w:r>
    </w:p>
    <w:p>
      <w:pPr>
        <w:spacing w:after="0" w:line="90"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Earnings Per Share </w:t>
      </w:r>
      <w:r>
        <w:rPr>
          <w:rFonts w:ascii="Times New Roman" w:cs="Times New Roman" w:eastAsia="Times New Roman" w:hAnsi="Times New Roman"/>
          <w:sz w:val="17"/>
          <w:szCs w:val="17"/>
          <w:color w:val="auto"/>
        </w:rPr>
        <w:t>— Basic earnings per share are computed based on the weighted-average number of common shares outstanding and exclude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dilutive effects of share options, and unvested restricted shares units. Dilutive earnings per share are computed using the weighted-average number of common shares outstanding during the period adjusted for the dilutive impact of share options. The two-class method is used to determine earnings per share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based on dividends declared on common shares and participating securities (i.e. distributed earnings) and participation rights of participating securities in any undistributed earnings. Each unvested restricted share granted by the Company to certain employees and directors is considered a participating security and the two-class method is used to calculate net income attributable to common shareholders per common share – basic and diluted. However,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undistributed losses are not allocated to the participating securities.</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Treasury Shares </w:t>
      </w:r>
      <w:r>
        <w:rPr>
          <w:rFonts w:ascii="Times New Roman" w:cs="Times New Roman" w:eastAsia="Times New Roman" w:hAnsi="Times New Roman"/>
          <w:sz w:val="18"/>
          <w:szCs w:val="18"/>
          <w:color w:val="auto"/>
        </w:rPr>
        <w:t>— Treasury shares include common shares owned by Maiden Reinsurance which are eliminated for accounting and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in the Company’s Consolidated Balance Sheet at June 30, 2025. Since treasury shares are not considered outstanding for share count purposes,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held by Maiden Reinsurance are excluded from the average number of common shares outstanding for basic and diluted earnings per share.</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Transactions </w:t>
      </w:r>
      <w:r>
        <w:rPr>
          <w:rFonts w:ascii="Times New Roman" w:cs="Times New Roman" w:eastAsia="Times New Roman" w:hAnsi="Times New Roman"/>
          <w:sz w:val="18"/>
          <w:szCs w:val="18"/>
          <w:color w:val="auto"/>
        </w:rPr>
        <w:t>— The functional currency of the Company and many of its subsidiaries is the U.S. dollar. For these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monetary assets and liabilities denominated in foreign currencies are translated at year-end exchange rates, with resulting foreign exchange gains and losses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recognized in the Consolidated Statements of Income. Revenues and expenses in foreign currencies are converted at average exchange rates during the year. Monetary assets and liabilities include cash and cash equivalents, reinsurance balances receivable, reinsurance recoverable on unpaid losses, funds withheld receivable, reserve for loss and LAE and accrued expenses and other liabilities. Accounts that are classified as non-monetary such as unearned premiums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revalued.</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Assets and liabilities of foreign subsidiaries and divisions, whose functional currency is not the U.S. dollar, are translated at year-end exchange rates. Revenues and expenses of these entities are translated at average exchange rates during the year. The effects of the foreign currency translation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foreign entities are included in AOCI. The amount of the cumulative translation adjustment at June 30, 2025 was $74.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Fee Revenue</w:t>
      </w:r>
    </w:p>
    <w:p>
      <w:pPr>
        <w:spacing w:after="0" w:line="9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In accordance with FASB ASC Topic 606, Revenue from Contracts with Customers, Kestrel recognizes revenue for each separately identifiable performance obligation in a contract representing a promise to transfer a distinct good or service to a customer. Revenue is measured as the amount of consideration Kestrel expects to receive in exchange for providing services to customers and is generally governed by a capacity distribution agreement as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percentage of the premium.</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Capacity distribution fees are collected from program managers or MGAs for the placement of an effective insurance policy on behalf of the Company's customer. These agreements may also include other provisions, such as minimum fee arrangements or cancellation provisions, which may impact revenue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establishment and maintenance of an Authorized Program on behalf of our customer, as well as the resulting placement of effective insurance policies are considered a single performance obligation. The customer obtains control over the services promised by the Company at the effective date of</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bound insurance coverage. The Company recognizes revenue when control of the promised services is transferred to the customer in the amount that best reflects the consideration to which the Company expects to be entitled in exchange for those services.</w:t>
      </w:r>
    </w:p>
    <w:p>
      <w:pPr>
        <w:spacing w:after="0" w:line="4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Except for contractual arrangements with minimum annual fees, the effective date of bound insurance coverage is considered the point in time when Kestrel’s performance obligation is met. Control passes to the customer at the effective date of bound insurance coverage, at which point the customer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the services. For contractual arrangements with minimum annual fees, Kestrel amortizes the minimum fee over the contract period.</w:t>
      </w:r>
    </w:p>
    <w:p>
      <w:pPr>
        <w:spacing w:after="0" w:line="55"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 xml:space="preserve">At June 30, 2025, the amount of contract assets was $1,323 and is included in Other Assets on the Company's condensed consolidated balance sheets (December 31, 2024 - $968). Please see </w:t>
      </w:r>
      <w:r>
        <w:rPr>
          <w:rFonts w:ascii="Times New Roman" w:cs="Times New Roman" w:eastAsia="Times New Roman" w:hAnsi="Times New Roman"/>
          <w:sz w:val="18"/>
          <w:szCs w:val="18"/>
          <w:i w:val="1"/>
          <w:iCs w:val="1"/>
          <w:color w:val="auto"/>
        </w:rPr>
        <w:t>Note 3. Segment Information</w:t>
      </w:r>
      <w:r>
        <w:rPr>
          <w:rFonts w:ascii="Times New Roman" w:cs="Times New Roman" w:eastAsia="Times New Roman" w:hAnsi="Times New Roman"/>
          <w:sz w:val="18"/>
          <w:szCs w:val="18"/>
          <w:color w:val="auto"/>
        </w:rPr>
        <w:t xml:space="preserve"> for further details.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7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Under the accounting guidance contained in Accounting Standards Codification Topic 205, a business that, upon acquisition, meets the held-for-sale criteria is not analyzed under the strategic shift test. Instead, it is reported in discontinued operations automatically based on its held-for-sale classification.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 strategic shift test does not apply because the acquired businesses were not previously part of Kestrel Group, the acquiring entity, and are currently classified as held-for-sale on the acquisition date. Therefore, the unaudited condensed consolidated combined financial statements for the three and six months ended June 30, 2025 and 2024 exclude the non-insurance related operations of Maiden GF and Maiden LF because those businesses are not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considered part of Kestrel’s continuing operations. Please refer to </w:t>
      </w:r>
      <w:r>
        <w:rPr>
          <w:rFonts w:ascii="Times New Roman" w:cs="Times New Roman" w:eastAsia="Times New Roman" w:hAnsi="Times New Roman"/>
          <w:sz w:val="18"/>
          <w:szCs w:val="18"/>
          <w:i w:val="1"/>
          <w:iCs w:val="1"/>
          <w:color w:val="auto"/>
        </w:rPr>
        <w:t>Note 14. Assets Held for Sale</w:t>
      </w:r>
      <w:r>
        <w:rPr>
          <w:rFonts w:ascii="Times New Roman" w:cs="Times New Roman" w:eastAsia="Times New Roman" w:hAnsi="Times New Roman"/>
          <w:sz w:val="18"/>
          <w:szCs w:val="18"/>
          <w:color w:val="auto"/>
        </w:rPr>
        <w:t xml:space="preserve"> for further information on the discontinued operations related to Maiden GF and Maiden LF.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color w:val="auto"/>
        </w:rPr>
        <w:t xml:space="preserve">Effective January 1, 2025, the Company adopted Accounting Standard Updates ("ASU") 2021-08,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Accounting for Contract Assets and Contract Liabilities from Contracts with Customers (“ASU 2021-08”), which requires contract assets and contract liabilities (i.e., deferred revenue) acquired in a business combination to be recognized and measured by the acquirer on the acquisition date. Generally, this guidance will</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result in the accounting acquirer recognizing contract assets and contract liabilities at the same amounts recorded by the accounting acquiree. With adoption of ASU 2021-08, the Company did not acquire any contract liabilities under Topic 606.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75" w:lineRule="exact"/>
        <w:rPr>
          <w:sz w:val="20"/>
          <w:szCs w:val="20"/>
          <w:color w:val="auto"/>
        </w:rPr>
      </w:pPr>
    </w:p>
    <w:p>
      <w:pPr>
        <w:ind w:right="7160" w:firstLine="7"/>
        <w:spacing w:after="0" w:line="332" w:lineRule="auto"/>
        <w:tabs>
          <w:tab w:leader="none" w:pos="17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Accounting Policies (continued) </w:t>
      </w:r>
      <w:r>
        <w:rPr>
          <w:rFonts w:ascii="Times New Roman" w:cs="Times New Roman" w:eastAsia="Times New Roman" w:hAnsi="Times New Roman"/>
          <w:sz w:val="18"/>
          <w:szCs w:val="18"/>
          <w:b w:val="1"/>
          <w:bCs w:val="1"/>
          <w:i w:val="1"/>
          <w:iCs w:val="1"/>
          <w:color w:val="auto"/>
        </w:rPr>
        <w:t xml:space="preserve">Recently Issued Accounting Standards Not Yet Adopted </w:t>
      </w:r>
      <w:r>
        <w:rPr>
          <w:rFonts w:ascii="Times New Roman" w:cs="Times New Roman" w:eastAsia="Times New Roman" w:hAnsi="Times New Roman"/>
          <w:sz w:val="18"/>
          <w:szCs w:val="18"/>
          <w:i w:val="1"/>
          <w:iCs w:val="1"/>
          <w:color w:val="auto"/>
        </w:rPr>
        <w:t>Improvements to Income Tax Disclosures</w:t>
      </w:r>
    </w:p>
    <w:p>
      <w:pPr>
        <w:spacing w:after="0" w:line="1" w:lineRule="exact"/>
        <w:rPr>
          <w:sz w:val="20"/>
          <w:szCs w:val="20"/>
          <w:color w:val="auto"/>
        </w:rPr>
      </w:pPr>
    </w:p>
    <w:p>
      <w:pPr>
        <w:jc w:val="both"/>
        <w:ind w:firstLine="241"/>
        <w:spacing w:after="0" w:line="243" w:lineRule="auto"/>
        <w:rPr>
          <w:sz w:val="20"/>
          <w:szCs w:val="20"/>
          <w:color w:val="auto"/>
        </w:rPr>
      </w:pPr>
      <w:r>
        <w:rPr>
          <w:rFonts w:ascii="Times New Roman" w:cs="Times New Roman" w:eastAsia="Times New Roman" w:hAnsi="Times New Roman"/>
          <w:sz w:val="17"/>
          <w:szCs w:val="17"/>
          <w:color w:val="auto"/>
        </w:rPr>
        <w:t xml:space="preserve">In December 2023,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an amendment of Income Taxes (Topic 740). The amendments in this ASU require the Company to provide disclosures on an annual basis that (1) disclose specific categories in the rate reconciliation and (2)</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provide additional information for reconciling items that meet a quantitative threshold. The amendments in this Update also require that the Company disclose on an annual basis the amount of income taxes paid (net of refunds received) disaggregated by federal (national), state, and foreign taxes, and the</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amount of income taxes paid disaggregated by individual jurisdictions in which income taxes paid is equal to or greater than five percent of total income taxes paid (net of refunds received). Finally, the amendments in this Update require that all entities disclose the income (or loss) from continuing operations</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7"/>
          <w:szCs w:val="17"/>
          <w:color w:val="auto"/>
        </w:rPr>
        <w:t>before income tax expense (or benefit) disaggregated between domestic and foreign; and income tax expense (or benefit) from continuing operations disaggregated by federal (national), state, and foreign. For public business entities, the amendments in this Update are effective for annual periods beginning</w:t>
      </w:r>
    </w:p>
    <w:p>
      <w:pPr>
        <w:ind w:right="20"/>
        <w:spacing w:after="0" w:line="232" w:lineRule="auto"/>
        <w:rPr>
          <w:sz w:val="20"/>
          <w:szCs w:val="20"/>
          <w:color w:val="auto"/>
        </w:rPr>
      </w:pPr>
      <w:r>
        <w:rPr>
          <w:rFonts w:ascii="Times New Roman" w:cs="Times New Roman" w:eastAsia="Times New Roman" w:hAnsi="Times New Roman"/>
          <w:sz w:val="18"/>
          <w:szCs w:val="18"/>
          <w:color w:val="auto"/>
        </w:rPr>
        <w:t>after December 15, 2024. The Company is still evaluating the guidance provided by this Update, however, it is not anticipated to have any material impact on its current annual tax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Disaggregation Disclosures</w:t>
      </w:r>
    </w:p>
    <w:p>
      <w:pPr>
        <w:spacing w:after="0" w:line="88" w:lineRule="exact"/>
        <w:rPr>
          <w:sz w:val="20"/>
          <w:szCs w:val="20"/>
          <w:color w:val="auto"/>
        </w:rPr>
      </w:pPr>
    </w:p>
    <w:p>
      <w:pPr>
        <w:ind w:firstLine="241"/>
        <w:spacing w:after="0" w:line="235" w:lineRule="auto"/>
        <w:rPr>
          <w:sz w:val="20"/>
          <w:szCs w:val="20"/>
          <w:color w:val="auto"/>
        </w:rPr>
      </w:pPr>
      <w:r>
        <w:rPr>
          <w:rFonts w:ascii="Times New Roman" w:cs="Times New Roman" w:eastAsia="Times New Roman" w:hAnsi="Times New Roman"/>
          <w:sz w:val="17"/>
          <w:szCs w:val="17"/>
          <w:color w:val="auto"/>
        </w:rPr>
        <w:t xml:space="preserve">In November 2024, FASB issued ASU 2024-03 </w:t>
      </w:r>
      <w:r>
        <w:rPr>
          <w:rFonts w:ascii="Times New Roman" w:cs="Times New Roman" w:eastAsia="Times New Roman" w:hAnsi="Times New Roman"/>
          <w:sz w:val="17"/>
          <w:szCs w:val="17"/>
          <w:i w:val="1"/>
          <w:iCs w:val="1"/>
          <w:color w:val="auto"/>
        </w:rPr>
        <w:t>"Expense Disaggregation Disclosures"</w:t>
      </w:r>
      <w:r>
        <w:rPr>
          <w:rFonts w:ascii="Times New Roman" w:cs="Times New Roman" w:eastAsia="Times New Roman" w:hAnsi="Times New Roman"/>
          <w:sz w:val="17"/>
          <w:szCs w:val="17"/>
          <w:color w:val="auto"/>
        </w:rPr>
        <w:t xml:space="preserve"> an amendment of Income Statement - Reporting Comprehensive Income (Subtopic 220-40). The amendments in this Update improve financial reporting by requiring that public business entities disclose additional</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information about specific expense categories in the notes to financial statements at interim and annual reporting periods which is generally not presented in today's income statements. In particular, all public companies must disclose the amounts of (a) purchases of inventory, (b) employee compensation, (c)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(d) intangible asset amortization that is included in each relevant expense caption.</w:t>
      </w:r>
    </w:p>
    <w:p>
      <w:pPr>
        <w:spacing w:after="0" w:line="68" w:lineRule="exact"/>
        <w:rPr>
          <w:sz w:val="20"/>
          <w:szCs w:val="20"/>
          <w:color w:val="auto"/>
        </w:rPr>
      </w:pPr>
    </w:p>
    <w:p>
      <w:pPr>
        <w:ind w:firstLine="241"/>
        <w:spacing w:after="0" w:line="221" w:lineRule="auto"/>
        <w:rPr>
          <w:sz w:val="20"/>
          <w:szCs w:val="20"/>
          <w:color w:val="auto"/>
        </w:rPr>
      </w:pPr>
      <w:r>
        <w:rPr>
          <w:rFonts w:ascii="Times New Roman" w:cs="Times New Roman" w:eastAsia="Times New Roman" w:hAnsi="Times New Roman"/>
          <w:sz w:val="18"/>
          <w:szCs w:val="18"/>
          <w:color w:val="auto"/>
        </w:rPr>
        <w:t>The amendments in this Update are effective for annual reporting periods beginning after December 15, 2026, and interim reporting periods beginning after December 15, 2027. Early adoption is permitted. The amendments in this Update should be applied either (1) prospectively to financial statements</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issued for reporting periods after the effective date of this Update or (2) retrospectively to any or all prior periods presented in the financial statements. The Company does not plan to early adopt ASU 2024-03 and will provide the required expense disclosures on a prospective basis. At this time,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anticipates that further expense information on employee compensation will be the primary requirement under this ASU.</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w:t>
      </w:r>
    </w:p>
    <w:p>
      <w:pPr>
        <w:spacing w:after="0" w:line="9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As a result of the the Company's recently completed Combination, Kestrel has two reportable segments: Program Services segment and the Legacy Reinsurance segment. Our Program Services reportable segment consists of a cohesive suite of fronting services that are integrated and interdependent. This revenue stream is highly concentrated due to capacity distribution agreements with an individual customer. Capacity distribution fees are collected from</w:t>
      </w:r>
    </w:p>
    <w:p>
      <w:pPr>
        <w:spacing w:after="0" w:line="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 and administrative support which culminate in the placement of bound insurance coverage. Kestrel considers these arrangements a single revenue stream.</w:t>
      </w:r>
    </w:p>
    <w:p>
      <w:pPr>
        <w:spacing w:after="0" w:line="64" w:lineRule="exact"/>
        <w:rPr>
          <w:sz w:val="20"/>
          <w:szCs w:val="20"/>
          <w:color w:val="auto"/>
        </w:rPr>
      </w:pPr>
    </w:p>
    <w:p>
      <w:pPr>
        <w:jc w:val="both"/>
        <w:ind w:left="40" w:firstLine="241"/>
        <w:spacing w:after="0" w:line="227" w:lineRule="auto"/>
        <w:rPr>
          <w:sz w:val="20"/>
          <w:szCs w:val="20"/>
          <w:color w:val="auto"/>
        </w:rPr>
      </w:pPr>
      <w:r>
        <w:rPr>
          <w:rFonts w:ascii="Times New Roman" w:cs="Times New Roman" w:eastAsia="Times New Roman" w:hAnsi="Times New Roman"/>
          <w:sz w:val="17"/>
          <w:szCs w:val="17"/>
          <w:color w:val="auto"/>
        </w:rPr>
        <w:t>Our Legacy Reinsurance reportable segment consists of the AmTrust Reinsurance and Diversified Reinsurance segments previously reported by Maiden prior to the Combination with Kestrel. The AmTrust portion of this reportable segment includes all business ceded to Maiden Reinsurance by AmTrust, primarily the quota share reinsurance agreement (“AmTrust Quota Share”) between Maiden Reinsurance and AmTrust’s wholly owned subsidiary, AmTrust</w:t>
      </w:r>
    </w:p>
    <w:p>
      <w:pPr>
        <w:spacing w:after="0" w:line="2" w:lineRule="exact"/>
        <w:rPr>
          <w:sz w:val="20"/>
          <w:szCs w:val="20"/>
          <w:color w:val="auto"/>
        </w:rPr>
      </w:pPr>
    </w:p>
    <w:p>
      <w:pPr>
        <w:jc w:val="both"/>
        <w:ind w:left="40"/>
        <w:spacing w:after="0" w:line="207" w:lineRule="auto"/>
        <w:rPr>
          <w:sz w:val="20"/>
          <w:szCs w:val="20"/>
          <w:color w:val="auto"/>
        </w:rPr>
      </w:pPr>
      <w:r>
        <w:rPr>
          <w:rFonts w:ascii="Times New Roman" w:cs="Times New Roman" w:eastAsia="Times New Roman" w:hAnsi="Times New Roman"/>
          <w:sz w:val="18"/>
          <w:szCs w:val="18"/>
          <w:color w:val="auto"/>
        </w:rPr>
        <w:t xml:space="preserve">International Insurance, Ltd. (“AII”) and the European hospital liability quota share reinsurance contract ("European Hospital Liability Quota Share") with AmTrust’s wholly owned subsidiaries, AmTrust Europe Limited ("AEL") and AmTrust International Underwriters DAC ("AIU DAC"), which are both in run-off effective January 1, 2019. Please refer to </w:t>
      </w:r>
      <w:r>
        <w:rPr>
          <w:rFonts w:ascii="Times New Roman" w:cs="Times New Roman" w:eastAsia="Times New Roman" w:hAnsi="Times New Roman"/>
          <w:sz w:val="18"/>
          <w:szCs w:val="18"/>
          <w:i w:val="1"/>
          <w:iCs w:val="1"/>
          <w:color w:val="auto"/>
        </w:rPr>
        <w:t>Note 10. Related Party Transactions</w:t>
      </w:r>
      <w:r>
        <w:rPr>
          <w:rFonts w:ascii="Times New Roman" w:cs="Times New Roman" w:eastAsia="Times New Roman" w:hAnsi="Times New Roman"/>
          <w:sz w:val="18"/>
          <w:szCs w:val="18"/>
          <w:color w:val="auto"/>
        </w:rPr>
        <w:t xml:space="preserve"> for additional information regarding these agreements. The</w:t>
      </w:r>
    </w:p>
    <w:p>
      <w:pPr>
        <w:spacing w:after="0" w:line="1" w:lineRule="exact"/>
        <w:rPr>
          <w:sz w:val="20"/>
          <w:szCs w:val="20"/>
          <w:color w:val="auto"/>
        </w:rPr>
      </w:pPr>
    </w:p>
    <w:p>
      <w:pPr>
        <w:jc w:val="both"/>
        <w:ind w:left="40"/>
        <w:spacing w:after="0" w:line="217" w:lineRule="auto"/>
        <w:rPr>
          <w:sz w:val="20"/>
          <w:szCs w:val="20"/>
          <w:color w:val="auto"/>
        </w:rPr>
      </w:pPr>
      <w:r>
        <w:rPr>
          <w:rFonts w:ascii="Times New Roman" w:cs="Times New Roman" w:eastAsia="Times New Roman" w:hAnsi="Times New Roman"/>
          <w:sz w:val="18"/>
          <w:szCs w:val="18"/>
          <w:color w:val="auto"/>
        </w:rPr>
        <w:t xml:space="preserve">Diversified portion of this reportable segment consists of a run-off portfolio of predominantly third-party property and casualty reinsurance business focusing on regional and specialty property and casualty insurance companies located primarily in Europe, as well as business produced by Maiden LF and Maiden GF along with transactions entered into by GLS as described in </w:t>
      </w:r>
      <w:r>
        <w:rPr>
          <w:rFonts w:ascii="Times New Roman" w:cs="Times New Roman" w:eastAsia="Times New Roman" w:hAnsi="Times New Roman"/>
          <w:sz w:val="18"/>
          <w:szCs w:val="18"/>
          <w:i w:val="1"/>
          <w:iCs w:val="1"/>
          <w:color w:val="auto"/>
        </w:rPr>
        <w:t>Note 1. Basis of Presentation</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Maiden Legacy Operations.</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The Company evaluates segment performance based on segment profit separately from results of our investment portfolio. Underwriting and fee income or loss is calculated as net premiums earned plus other insurance revenue less net loss and LAE, commission and other acquisition expenses. General and administrative expenses are allocated to the segments on an actual basis except salaries and benefits where management’s judgment is applied; however,</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general corporate expenses are not allocated to the reportable segments. In determining total assets by reportable segment, the Company identifies those assets that are attributable to a particular segment such as reinsurance balances receivable, reinsurance recoverable on unpaid losses, funds withheld receivable, net loan receivable from related party, intangible assets and restricted cash and investments. All remaining assets are allocated to Corporate.</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Kestrel’s chief operating decision maker ("CODM") is the Company's Chief Executive Officer, Luke Ledbetter for both the Program Services segment and the Legacy Reinsurance segment. The significant segment expenses as reported in the computation of underwriting results in the tables below are used by the Company's CODM in assessing segment performance on a quarterly basis and supports their decision on how to allocate resources within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79"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The following tables summarize the underwriting results of our reportable segments and the reconciliation of our reportable segments' underwriting results to consolidated net income for the three months ended June 30, 2025 and 2024, respectively:</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100" w:type="dxa"/>
            <w:vAlign w:val="bottom"/>
            <w:tcBorders>
              <w:bottom w:val="single" w:sz="8" w:color="CCFFCC"/>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Legacy Reinsurance</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Program Services</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6"/>
        </w:trPr>
        <w:tc>
          <w:tcPr>
            <w:tcW w:w="670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Gross premiums written</w:t>
            </w:r>
          </w:p>
        </w:tc>
        <w:tc>
          <w:tcPr>
            <w:tcW w:w="500" w:type="dxa"/>
            <w:vAlign w:val="bottom"/>
            <w:tcBorders>
              <w:bottom w:val="single" w:sz="8" w:color="CCFFCC"/>
            </w:tcBorders>
            <w:shd w:val="clear" w:color="auto" w:fill="CCFFC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24"/>
                <w:szCs w:val="24"/>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02"/>
        </w:trPr>
        <w:tc>
          <w:tcPr>
            <w:tcW w:w="6700" w:type="dxa"/>
            <w:vAlign w:val="bottom"/>
            <w:tcBorders>
              <w:top w:val="single" w:sz="8" w:color="CCFFCC"/>
              <w:bottom w:val="single" w:sz="8" w:color="CCFFCC"/>
            </w:tcBorders>
            <w:gridSpan w:val="2"/>
          </w:tcPr>
          <w:p>
            <w:pPr>
              <w:ind w:left="60"/>
              <w:spacing w:after="0" w:line="201" w:lineRule="exact"/>
              <w:rPr>
                <w:sz w:val="20"/>
                <w:szCs w:val="20"/>
                <w:color w:val="auto"/>
              </w:rPr>
            </w:pPr>
            <w:r>
              <w:rPr>
                <w:rFonts w:ascii="Times New Roman" w:cs="Times New Roman" w:eastAsia="Times New Roman" w:hAnsi="Times New Roman"/>
                <w:sz w:val="18"/>
                <w:szCs w:val="18"/>
                <w:color w:val="auto"/>
              </w:rPr>
              <w:t>Net premiums written</w:t>
            </w: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top w:val="single" w:sz="8" w:color="CCFFCC"/>
              <w:bottom w:val="single" w:sz="8" w:color="CCFFC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bottom w:val="single" w:sz="8" w:color="CCFFC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1,095</w:t>
            </w:r>
          </w:p>
        </w:tc>
      </w:tr>
      <w:tr>
        <w:trPr>
          <w:trHeight w:val="221"/>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premiums earned</w:t>
            </w:r>
          </w:p>
        </w:tc>
        <w:tc>
          <w:tcPr>
            <w:tcW w:w="500" w:type="dxa"/>
            <w:vAlign w:val="bottom"/>
            <w:shd w:val="clear" w:color="auto" w:fill="CCFFCC"/>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8"/>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Fee revenue</w:t>
            </w: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8"/>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loss and LAE</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28"/>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8"/>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21"/>
        </w:trPr>
        <w:tc>
          <w:tcPr>
            <w:tcW w:w="6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Underwriting and fee income (loss)</w:t>
            </w: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r>
      <w:tr>
        <w:trPr>
          <w:trHeight w:val="20"/>
        </w:trPr>
        <w:tc>
          <w:tcPr>
            <w:tcW w:w="660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CCFFCC"/>
            </w:tcBorders>
          </w:tcPr>
          <w:p>
            <w:pPr>
              <w:spacing w:after="0" w:line="20" w:lineRule="exact"/>
              <w:rPr>
                <w:sz w:val="1"/>
                <w:szCs w:val="1"/>
                <w:color w:val="auto"/>
              </w:rPr>
            </w:pPr>
          </w:p>
        </w:tc>
        <w:tc>
          <w:tcPr>
            <w:tcW w:w="1100" w:type="dxa"/>
            <w:vAlign w:val="bottom"/>
            <w:tcBorders>
              <w:bottom w:val="single" w:sz="8" w:color="CCFFCC"/>
            </w:tcBorders>
          </w:tcPr>
          <w:p>
            <w:pPr>
              <w:spacing w:after="0" w:line="20" w:lineRule="exact"/>
              <w:rPr>
                <w:sz w:val="1"/>
                <w:szCs w:val="1"/>
                <w:color w:val="auto"/>
              </w:rPr>
            </w:pPr>
          </w:p>
        </w:tc>
      </w:tr>
      <w:tr>
        <w:trPr>
          <w:trHeight w:val="195"/>
        </w:trPr>
        <w:tc>
          <w:tcPr>
            <w:tcW w:w="6700" w:type="dxa"/>
            <w:vAlign w:val="bottom"/>
            <w:gridSpan w:val="2"/>
            <w:shd w:val="clear" w:color="auto" w:fill="CCFFCC"/>
          </w:tcPr>
          <w:p>
            <w:pPr>
              <w:ind w:left="60"/>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Reconciliation to net income from continuing operations</w:t>
            </w:r>
          </w:p>
        </w:tc>
        <w:tc>
          <w:tcPr>
            <w:tcW w:w="50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r>
      <w:tr>
        <w:trPr>
          <w:trHeight w:val="228"/>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income and net realized and unrealized investment gains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28"/>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Interest and amortization expenses</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8"/>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8"/>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Gain on bargain purchase</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73,590</w:t>
            </w:r>
          </w:p>
        </w:tc>
      </w:tr>
      <w:tr>
        <w:trPr>
          <w:trHeight w:val="228"/>
        </w:trPr>
        <w:tc>
          <w:tcPr>
            <w:tcW w:w="6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Foreign exchange and other losses, net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28"/>
        </w:trPr>
        <w:tc>
          <w:tcPr>
            <w:tcW w:w="6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8"/>
        </w:trPr>
        <w:tc>
          <w:tcPr>
            <w:tcW w:w="670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FFCC"/>
            </w:tcBorders>
          </w:tcPr>
          <w:p>
            <w:pPr>
              <w:spacing w:after="0"/>
              <w:rPr>
                <w:sz w:val="19"/>
                <w:szCs w:val="19"/>
                <w:color w:val="auto"/>
              </w:rPr>
            </w:pPr>
          </w:p>
        </w:tc>
        <w:tc>
          <w:tcPr>
            <w:tcW w:w="94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3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6"/>
        </w:trPr>
        <w:tc>
          <w:tcPr>
            <w:tcW w:w="6700" w:type="dxa"/>
            <w:vAlign w:val="bottom"/>
            <w:tcBorders>
              <w:bottom w:val="single" w:sz="8" w:color="CCFFCC"/>
            </w:tcBorders>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5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70,422</w:t>
            </w:r>
          </w:p>
        </w:tc>
      </w:tr>
      <w:tr>
        <w:trPr>
          <w:trHeight w:val="20"/>
        </w:trPr>
        <w:tc>
          <w:tcPr>
            <w:tcW w:w="66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 Legacy Reinsurance underwriting results only include the post-combination period of May 28, 2025 to June 30, 2025.</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Legacy Reinsurance</w:t>
            </w:r>
          </w:p>
        </w:tc>
        <w:tc>
          <w:tcPr>
            <w:tcW w:w="1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Fee revenue</w:t>
            </w:r>
          </w:p>
        </w:tc>
        <w:tc>
          <w:tcPr>
            <w:tcW w:w="10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8"/>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6"/>
        </w:trPr>
        <w:tc>
          <w:tcPr>
            <w:tcW w:w="6680" w:type="dxa"/>
            <w:vAlign w:val="bottom"/>
            <w:tcBorders>
              <w:top w:val="single" w:sz="8" w:color="CCFFCC"/>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Fee loss</w:t>
            </w:r>
          </w:p>
        </w:tc>
        <w:tc>
          <w:tcPr>
            <w:tcW w:w="640" w:type="dxa"/>
            <w:vAlign w:val="bottom"/>
            <w:tcBorders>
              <w:top w:val="single" w:sz="8" w:color="auto"/>
              <w:bottom w:val="single" w:sz="8" w:color="auto"/>
            </w:tcBorders>
            <w:shd w:val="clear" w:color="auto" w:fill="CCFFC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320" w:type="dxa"/>
            <w:vAlign w:val="bottom"/>
            <w:tcBorders>
              <w:top w:val="single" w:sz="8" w:color="auto"/>
              <w:bottom w:val="single" w:sz="8" w:color="CCFFCC"/>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680" w:type="dxa"/>
            <w:vAlign w:val="bottom"/>
            <w:tcBorders>
              <w:top w:val="single" w:sz="8" w:color="CCFFCC"/>
              <w:bottom w:val="single" w:sz="8" w:color="CCFFCC"/>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net loss from continuing operations</w:t>
            </w:r>
          </w:p>
        </w:tc>
        <w:tc>
          <w:tcPr>
            <w:tcW w:w="64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6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4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8"/>
        </w:trPr>
        <w:tc>
          <w:tcPr>
            <w:tcW w:w="668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640" w:type="dxa"/>
            <w:vAlign w:val="bottom"/>
            <w:tcBorders>
              <w:bottom w:val="single" w:sz="8" w:color="CCFFCC"/>
            </w:tcBorders>
          </w:tcPr>
          <w:p>
            <w:pPr>
              <w:spacing w:after="0"/>
              <w:rPr>
                <w:sz w:val="19"/>
                <w:szCs w:val="19"/>
                <w:color w:val="auto"/>
              </w:rPr>
            </w:pPr>
          </w:p>
        </w:tc>
        <w:tc>
          <w:tcPr>
            <w:tcW w:w="8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3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46"/>
        </w:trPr>
        <w:tc>
          <w:tcPr>
            <w:tcW w:w="66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6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65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79"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The following tables summarize the underwriting results of our reportable segments and the reconciliation of our reportable segments' underwriting results to consolidated net income for the six months ended June 30, 2025 and 2024, respectively:</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Legacy Reinsurance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2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6580" w:type="dxa"/>
            <w:vAlign w:val="bottom"/>
            <w:tcBorders>
              <w:top w:val="single" w:sz="8" w:color="auto"/>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Gross premiums written</w:t>
            </w:r>
          </w:p>
        </w:tc>
        <w:tc>
          <w:tcPr>
            <w:tcW w:w="100" w:type="dxa"/>
            <w:vAlign w:val="bottom"/>
            <w:tcBorders>
              <w:top w:val="single" w:sz="8" w:color="CCFFCC"/>
            </w:tcBorders>
            <w:shd w:val="clear" w:color="auto" w:fill="CCFFCC"/>
          </w:tcPr>
          <w:p>
            <w:pPr>
              <w:spacing w:after="0"/>
              <w:rPr>
                <w:sz w:val="19"/>
                <w:szCs w:val="19"/>
                <w:color w:val="auto"/>
              </w:rPr>
            </w:pPr>
          </w:p>
        </w:tc>
        <w:tc>
          <w:tcPr>
            <w:tcW w:w="500" w:type="dxa"/>
            <w:vAlign w:val="bottom"/>
            <w:tcBorders>
              <w:top w:val="single" w:sz="8" w:color="auto"/>
              <w:bottom w:val="single" w:sz="8" w:color="auto"/>
            </w:tcBorders>
            <w:shd w:val="clear" w:color="auto" w:fill="CCFFC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1"/>
        </w:trPr>
        <w:tc>
          <w:tcPr>
            <w:tcW w:w="668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premiums written</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1"/>
        </w:trPr>
        <w:tc>
          <w:tcPr>
            <w:tcW w:w="668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Net premiums earned</w:t>
            </w:r>
          </w:p>
        </w:tc>
        <w:tc>
          <w:tcPr>
            <w:tcW w:w="500" w:type="dxa"/>
            <w:vAlign w:val="bottom"/>
            <w:shd w:val="clear" w:color="auto" w:fill="CCFFC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8"/>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Fee revenue</w:t>
            </w: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28"/>
        </w:trPr>
        <w:tc>
          <w:tcPr>
            <w:tcW w:w="668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Net loss and LAE</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228"/>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28"/>
        </w:trPr>
        <w:tc>
          <w:tcPr>
            <w:tcW w:w="668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auto"/>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(3,045)</w:t>
            </w:r>
          </w:p>
        </w:tc>
      </w:tr>
      <w:tr>
        <w:trPr>
          <w:trHeight w:val="221"/>
        </w:trPr>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Underwriting and fee income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0"/>
        </w:trPr>
        <w:tc>
          <w:tcPr>
            <w:tcW w:w="658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CCFFCC"/>
            </w:tcBorders>
          </w:tcPr>
          <w:p>
            <w:pPr>
              <w:spacing w:after="0" w:line="20" w:lineRule="exact"/>
              <w:rPr>
                <w:sz w:val="1"/>
                <w:szCs w:val="1"/>
                <w:color w:val="auto"/>
              </w:rPr>
            </w:pPr>
          </w:p>
        </w:tc>
        <w:tc>
          <w:tcPr>
            <w:tcW w:w="1100" w:type="dxa"/>
            <w:vAlign w:val="bottom"/>
            <w:tcBorders>
              <w:bottom w:val="single" w:sz="8" w:color="CCFFCC"/>
            </w:tcBorders>
          </w:tcPr>
          <w:p>
            <w:pPr>
              <w:spacing w:after="0" w:line="20" w:lineRule="exact"/>
              <w:rPr>
                <w:sz w:val="1"/>
                <w:szCs w:val="1"/>
                <w:color w:val="auto"/>
              </w:rPr>
            </w:pPr>
          </w:p>
        </w:tc>
      </w:tr>
      <w:tr>
        <w:trPr>
          <w:trHeight w:val="195"/>
        </w:trPr>
        <w:tc>
          <w:tcPr>
            <w:tcW w:w="6680" w:type="dxa"/>
            <w:vAlign w:val="bottom"/>
            <w:gridSpan w:val="2"/>
            <w:shd w:val="clear" w:color="auto" w:fill="CCFFCC"/>
          </w:tcPr>
          <w:p>
            <w:pPr>
              <w:ind w:left="40"/>
              <w:spacing w:after="0" w:line="195" w:lineRule="exact"/>
              <w:rPr>
                <w:sz w:val="20"/>
                <w:szCs w:val="20"/>
                <w:color w:val="auto"/>
              </w:rPr>
            </w:pPr>
            <w:r>
              <w:rPr>
                <w:rFonts w:ascii="Times New Roman" w:cs="Times New Roman" w:eastAsia="Times New Roman" w:hAnsi="Times New Roman"/>
                <w:sz w:val="18"/>
                <w:szCs w:val="18"/>
                <w:b w:val="1"/>
                <w:bCs w:val="1"/>
                <w:i w:val="1"/>
                <w:iCs w:val="1"/>
                <w:color w:val="auto"/>
              </w:rPr>
              <w:t>Reconciliation to net income</w:t>
            </w:r>
          </w:p>
        </w:tc>
        <w:tc>
          <w:tcPr>
            <w:tcW w:w="50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spacing w:after="0"/>
              <w:rPr>
                <w:sz w:val="16"/>
                <w:szCs w:val="16"/>
                <w:color w:val="auto"/>
              </w:rPr>
            </w:pPr>
          </w:p>
        </w:tc>
      </w:tr>
      <w:tr>
        <w:trPr>
          <w:trHeight w:val="22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 and net realized and unrealized investment gains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28"/>
        </w:trPr>
        <w:tc>
          <w:tcPr>
            <w:tcW w:w="668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Interest and amortization expenses</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8"/>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8"/>
        </w:trPr>
        <w:tc>
          <w:tcPr>
            <w:tcW w:w="668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Gain on bargain purchase</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73,590</w:t>
            </w:r>
          </w:p>
        </w:tc>
      </w:tr>
      <w:tr>
        <w:trPr>
          <w:trHeight w:val="228"/>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exchange and other losses, net</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28"/>
        </w:trPr>
        <w:tc>
          <w:tcPr>
            <w:tcW w:w="668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50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28"/>
        </w:trPr>
        <w:tc>
          <w:tcPr>
            <w:tcW w:w="668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500" w:type="dxa"/>
            <w:vAlign w:val="bottom"/>
            <w:tcBorders>
              <w:bottom w:val="single" w:sz="8" w:color="CCFFCC"/>
            </w:tcBorders>
          </w:tcPr>
          <w:p>
            <w:pPr>
              <w:spacing w:after="0"/>
              <w:rPr>
                <w:sz w:val="19"/>
                <w:szCs w:val="19"/>
                <w:color w:val="auto"/>
              </w:rPr>
            </w:pPr>
          </w:p>
        </w:tc>
        <w:tc>
          <w:tcPr>
            <w:tcW w:w="94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3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6"/>
        </w:trPr>
        <w:tc>
          <w:tcPr>
            <w:tcW w:w="668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50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70,028</w:t>
            </w:r>
          </w:p>
        </w:tc>
      </w:tr>
      <w:tr>
        <w:trPr>
          <w:trHeight w:val="20"/>
        </w:trPr>
        <w:tc>
          <w:tcPr>
            <w:tcW w:w="65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0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 Legacy Reinsurance underwriting results only include the post-combination period of May 28, 2025 to June 30, 2025.</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5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Legacy Reinsurance</w:t>
            </w:r>
          </w:p>
        </w:tc>
        <w:tc>
          <w:tcPr>
            <w:tcW w:w="1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2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65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58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Fee revenue</w:t>
            </w:r>
          </w:p>
        </w:tc>
        <w:tc>
          <w:tcPr>
            <w:tcW w:w="100" w:type="dxa"/>
            <w:vAlign w:val="bottom"/>
            <w:shd w:val="clear" w:color="auto" w:fill="CCFFCC"/>
          </w:tcPr>
          <w:p>
            <w:pPr>
              <w:spacing w:after="0"/>
              <w:rPr>
                <w:sz w:val="19"/>
                <w:szCs w:val="19"/>
                <w:color w:val="auto"/>
              </w:rPr>
            </w:pPr>
          </w:p>
        </w:tc>
        <w:tc>
          <w:tcPr>
            <w:tcW w:w="640" w:type="dxa"/>
            <w:vAlign w:val="bottom"/>
            <w:shd w:val="clear" w:color="auto" w:fill="CCFFC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8"/>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46"/>
        </w:trPr>
        <w:tc>
          <w:tcPr>
            <w:tcW w:w="6680" w:type="dxa"/>
            <w:vAlign w:val="bottom"/>
            <w:tcBorders>
              <w:top w:val="single" w:sz="8" w:color="CCFFCC"/>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Fee income</w:t>
            </w:r>
          </w:p>
        </w:tc>
        <w:tc>
          <w:tcPr>
            <w:tcW w:w="640" w:type="dxa"/>
            <w:vAlign w:val="bottom"/>
            <w:tcBorders>
              <w:top w:val="single" w:sz="8" w:color="auto"/>
              <w:bottom w:val="single" w:sz="8" w:color="auto"/>
            </w:tcBorders>
            <w:shd w:val="clear" w:color="auto" w:fill="CCFFCC"/>
          </w:tcPr>
          <w:p>
            <w:pPr>
              <w:jc w:val="right"/>
              <w:ind w:right="457"/>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FFC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320" w:type="dxa"/>
            <w:vAlign w:val="bottom"/>
            <w:tcBorders>
              <w:top w:val="single" w:sz="8" w:color="auto"/>
              <w:bottom w:val="single" w:sz="8" w:color="CCFFCC"/>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6680" w:type="dxa"/>
            <w:vAlign w:val="bottom"/>
            <w:tcBorders>
              <w:top w:val="single" w:sz="8" w:color="CCFFCC"/>
              <w:bottom w:val="single" w:sz="8" w:color="CCFFCC"/>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net loss</w:t>
            </w:r>
          </w:p>
        </w:tc>
        <w:tc>
          <w:tcPr>
            <w:tcW w:w="640" w:type="dxa"/>
            <w:vAlign w:val="bottom"/>
            <w:tcBorders>
              <w:top w:val="single" w:sz="8" w:color="CCFFCC"/>
              <w:bottom w:val="single" w:sz="8" w:color="auto"/>
            </w:tcBorders>
          </w:tcPr>
          <w:p>
            <w:pPr>
              <w:spacing w:after="0" w:line="20" w:lineRule="exact"/>
              <w:rPr>
                <w:sz w:val="1"/>
                <w:szCs w:val="1"/>
                <w:color w:val="auto"/>
              </w:rPr>
            </w:pPr>
          </w:p>
        </w:tc>
        <w:tc>
          <w:tcPr>
            <w:tcW w:w="8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8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6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4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8"/>
        </w:trPr>
        <w:tc>
          <w:tcPr>
            <w:tcW w:w="668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640" w:type="dxa"/>
            <w:vAlign w:val="bottom"/>
            <w:tcBorders>
              <w:bottom w:val="single" w:sz="8" w:color="CCFFCC"/>
            </w:tcBorders>
          </w:tcPr>
          <w:p>
            <w:pPr>
              <w:spacing w:after="0"/>
              <w:rPr>
                <w:sz w:val="19"/>
                <w:szCs w:val="19"/>
                <w:color w:val="auto"/>
              </w:rPr>
            </w:pPr>
          </w:p>
        </w:tc>
        <w:tc>
          <w:tcPr>
            <w:tcW w:w="8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32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46"/>
        </w:trPr>
        <w:tc>
          <w:tcPr>
            <w:tcW w:w="668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64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0"/>
        </w:trPr>
        <w:tc>
          <w:tcPr>
            <w:tcW w:w="65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640" w:type="dxa"/>
            <w:vAlign w:val="bottom"/>
            <w:tcBorders>
              <w:top w:val="single" w:sz="8" w:color="CCFFCC"/>
            </w:tcBorders>
          </w:tcPr>
          <w:p>
            <w:pPr>
              <w:spacing w:after="0" w:line="20" w:lineRule="exact"/>
              <w:rPr>
                <w:sz w:val="1"/>
                <w:szCs w:val="1"/>
                <w:color w:val="auto"/>
              </w:rPr>
            </w:pPr>
          </w:p>
        </w:tc>
        <w:tc>
          <w:tcPr>
            <w:tcW w:w="8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3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Information (continued)</w:t>
      </w:r>
    </w:p>
    <w:p>
      <w:pPr>
        <w:spacing w:after="0" w:line="79"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The following tables summarize the financial position of the Company's reportable segments including a reconciliation to the Company's consolidated total assets at June 30, 2025 and December 31, 2024:</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Legacy Reinsurance</w:t>
            </w: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4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65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Reinsurance balances receivable, net</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10,397</w:t>
            </w:r>
          </w:p>
        </w:tc>
      </w:tr>
      <w:tr>
        <w:trPr>
          <w:trHeight w:val="228"/>
        </w:trPr>
        <w:tc>
          <w:tcPr>
            <w:tcW w:w="6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520,520</w:t>
            </w:r>
          </w:p>
        </w:tc>
      </w:tr>
      <w:tr>
        <w:trPr>
          <w:trHeight w:val="228"/>
        </w:trPr>
        <w:tc>
          <w:tcPr>
            <w:tcW w:w="66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Deferred commission and other acquisition expenses</w:t>
            </w:r>
          </w:p>
        </w:tc>
        <w:tc>
          <w:tcPr>
            <w:tcW w:w="1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Loan to related party</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107,490</w:t>
            </w:r>
          </w:p>
        </w:tc>
      </w:tr>
      <w:tr>
        <w:trPr>
          <w:trHeight w:val="228"/>
        </w:trPr>
        <w:tc>
          <w:tcPr>
            <w:tcW w:w="664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11,438</w:t>
            </w:r>
          </w:p>
        </w:tc>
      </w:tr>
      <w:tr>
        <w:trPr>
          <w:trHeight w:val="228"/>
        </w:trPr>
        <w:tc>
          <w:tcPr>
            <w:tcW w:w="6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Restricted cash and cash equivalents and investments</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213,908</w:t>
            </w:r>
          </w:p>
        </w:tc>
      </w:tr>
      <w:tr>
        <w:trPr>
          <w:trHeight w:val="228"/>
        </w:trPr>
        <w:tc>
          <w:tcPr>
            <w:tcW w:w="66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Funds withheld receivable</w:t>
            </w: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12,085</w:t>
            </w:r>
          </w:p>
        </w:tc>
      </w:tr>
      <w:tr>
        <w:trPr>
          <w:trHeight w:val="228"/>
        </w:trPr>
        <w:tc>
          <w:tcPr>
            <w:tcW w:w="6640" w:type="dxa"/>
            <w:vAlign w:val="bottom"/>
            <w:tcBorders>
              <w:bottom w:val="single" w:sz="8" w:color="CCFFCC"/>
            </w:tcBorders>
            <w:gridSpan w:val="2"/>
          </w:tcPr>
          <w:p>
            <w:pPr>
              <w:ind w:left="60"/>
              <w:spacing w:after="0" w:line="228"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8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r>
      <w:tr>
        <w:trPr>
          <w:trHeight w:val="221"/>
        </w:trPr>
        <w:tc>
          <w:tcPr>
            <w:tcW w:w="66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Total assets - reportable segments</w:t>
            </w: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873,691</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877,544</w:t>
            </w:r>
          </w:p>
        </w:tc>
      </w:tr>
      <w:tr>
        <w:trPr>
          <w:trHeight w:val="228"/>
        </w:trPr>
        <w:tc>
          <w:tcPr>
            <w:tcW w:w="6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assets</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262,044</w:t>
            </w:r>
          </w:p>
        </w:tc>
      </w:tr>
      <w:tr>
        <w:trPr>
          <w:trHeight w:val="228"/>
        </w:trPr>
        <w:tc>
          <w:tcPr>
            <w:tcW w:w="66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19,823</w:t>
            </w:r>
          </w:p>
        </w:tc>
      </w:tr>
      <w:tr>
        <w:trPr>
          <w:trHeight w:val="221"/>
        </w:trPr>
        <w:tc>
          <w:tcPr>
            <w:tcW w:w="6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873,691</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1,159,411</w:t>
            </w:r>
          </w:p>
        </w:tc>
      </w:tr>
      <w:tr>
        <w:trPr>
          <w:trHeight w:val="20"/>
        </w:trPr>
        <w:tc>
          <w:tcPr>
            <w:tcW w:w="652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2"/>
        </w:trPr>
        <w:tc>
          <w:tcPr>
            <w:tcW w:w="65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r>
      <w:tr>
        <w:trPr>
          <w:trHeight w:val="194"/>
        </w:trPr>
        <w:tc>
          <w:tcPr>
            <w:tcW w:w="6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Legacy Reinsurance</w:t>
            </w:r>
          </w:p>
        </w:tc>
        <w:tc>
          <w:tcPr>
            <w:tcW w:w="10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Program Services</w:t>
            </w:r>
          </w:p>
        </w:tc>
        <w:tc>
          <w:tcPr>
            <w:tcW w:w="34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6520" w:type="dxa"/>
            <w:vAlign w:val="bottom"/>
            <w:tcBorders>
              <w:top w:val="single" w:sz="8" w:color="auto"/>
            </w:tcBorders>
            <w:shd w:val="clear" w:color="auto" w:fill="CDFFCC"/>
          </w:tcPr>
          <w:p>
            <w:pPr>
              <w:ind w:left="60"/>
              <w:spacing w:after="0"/>
              <w:rPr>
                <w:sz w:val="20"/>
                <w:szCs w:val="20"/>
                <w:color w:val="auto"/>
              </w:rPr>
            </w:pPr>
            <w:r>
              <w:rPr>
                <w:rFonts w:ascii="Times New Roman" w:cs="Times New Roman" w:eastAsia="Times New Roman" w:hAnsi="Times New Roman"/>
                <w:sz w:val="18"/>
                <w:szCs w:val="18"/>
                <w:color w:val="auto"/>
              </w:rPr>
              <w:t>Restricted cash and cash equivalents and investments</w:t>
            </w:r>
          </w:p>
        </w:tc>
        <w:tc>
          <w:tcPr>
            <w:tcW w:w="120" w:type="dxa"/>
            <w:vAlign w:val="bottom"/>
            <w:tcBorders>
              <w:top w:val="single" w:sz="8" w:color="CDFFCC"/>
            </w:tcBorders>
            <w:shd w:val="clear" w:color="auto" w:fill="CDFFCC"/>
          </w:tcPr>
          <w:p>
            <w:pPr>
              <w:spacing w:after="0"/>
              <w:rPr>
                <w:sz w:val="19"/>
                <w:szCs w:val="19"/>
                <w:color w:val="auto"/>
              </w:rPr>
            </w:pPr>
          </w:p>
        </w:tc>
        <w:tc>
          <w:tcPr>
            <w:tcW w:w="10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DFFCC"/>
            </w:tcBorders>
            <w:shd w:val="clear" w:color="auto" w:fill="CDFFCC"/>
          </w:tcPr>
          <w:p>
            <w:pPr>
              <w:spacing w:after="0"/>
              <w:rPr>
                <w:sz w:val="19"/>
                <w:szCs w:val="19"/>
                <w:color w:val="auto"/>
              </w:rPr>
            </w:pPr>
          </w:p>
        </w:tc>
        <w:tc>
          <w:tcPr>
            <w:tcW w:w="10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tcBorders>
              <w:top w:val="single" w:sz="8" w:color="CDFFCC"/>
            </w:tcBorders>
            <w:shd w:val="clear" w:color="auto" w:fill="CDFFCC"/>
          </w:tcPr>
          <w:p>
            <w:pPr>
              <w:spacing w:after="0"/>
              <w:rPr>
                <w:sz w:val="19"/>
                <w:szCs w:val="19"/>
                <w:color w:val="auto"/>
              </w:rPr>
            </w:pPr>
          </w:p>
        </w:tc>
        <w:tc>
          <w:tcPr>
            <w:tcW w:w="340" w:type="dxa"/>
            <w:vAlign w:val="bottom"/>
            <w:tcBorders>
              <w:top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28"/>
        </w:trPr>
        <w:tc>
          <w:tcPr>
            <w:tcW w:w="6640" w:type="dxa"/>
            <w:vAlign w:val="bottom"/>
            <w:gridSpan w:val="2"/>
          </w:tcPr>
          <w:p>
            <w:pPr>
              <w:ind w:left="60"/>
              <w:spacing w:after="0" w:line="228"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1"/>
        </w:trPr>
        <w:tc>
          <w:tcPr>
            <w:tcW w:w="6640" w:type="dxa"/>
            <w:vAlign w:val="bottom"/>
            <w:tcBorders>
              <w:top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8"/>
                <w:szCs w:val="18"/>
                <w:color w:val="auto"/>
              </w:rPr>
              <w:t>Total assets - reportable segments</w:t>
            </w:r>
          </w:p>
        </w:tc>
        <w:tc>
          <w:tcPr>
            <w:tcW w:w="100" w:type="dxa"/>
            <w:vAlign w:val="bottom"/>
            <w:tcBorders>
              <w:top w:val="single" w:sz="8" w:color="auto"/>
            </w:tcBorders>
            <w:shd w:val="clear" w:color="auto" w:fill="CDFFCC"/>
          </w:tcPr>
          <w:p>
            <w:pPr>
              <w:spacing w:after="0"/>
              <w:rPr>
                <w:sz w:val="19"/>
                <w:szCs w:val="19"/>
                <w:color w:val="auto"/>
              </w:rPr>
            </w:pPr>
          </w:p>
        </w:tc>
        <w:tc>
          <w:tcPr>
            <w:tcW w:w="136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DFFCC"/>
            </w:tcBorders>
            <w:shd w:val="clear" w:color="auto" w:fill="CDFFCC"/>
          </w:tcPr>
          <w:p>
            <w:pPr>
              <w:spacing w:after="0"/>
              <w:rPr>
                <w:sz w:val="19"/>
                <w:szCs w:val="19"/>
                <w:color w:val="auto"/>
              </w:rPr>
            </w:pPr>
          </w:p>
        </w:tc>
        <w:tc>
          <w:tcPr>
            <w:tcW w:w="100" w:type="dxa"/>
            <w:vAlign w:val="bottom"/>
            <w:tcBorders>
              <w:top w:val="single" w:sz="8" w:color="auto"/>
            </w:tcBorders>
            <w:shd w:val="clear" w:color="auto" w:fill="CDFFCC"/>
          </w:tcPr>
          <w:p>
            <w:pPr>
              <w:spacing w:after="0"/>
              <w:rPr>
                <w:sz w:val="19"/>
                <w:szCs w:val="19"/>
                <w:color w:val="auto"/>
              </w:rPr>
            </w:pPr>
          </w:p>
        </w:tc>
        <w:tc>
          <w:tcPr>
            <w:tcW w:w="136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tcBorders>
              <w:top w:val="single" w:sz="8" w:color="CDFFCC"/>
            </w:tcBorders>
            <w:shd w:val="clear" w:color="auto" w:fill="CDFFCC"/>
          </w:tcPr>
          <w:p>
            <w:pPr>
              <w:spacing w:after="0"/>
              <w:rPr>
                <w:sz w:val="19"/>
                <w:szCs w:val="19"/>
                <w:color w:val="auto"/>
              </w:rPr>
            </w:pPr>
          </w:p>
        </w:tc>
        <w:tc>
          <w:tcPr>
            <w:tcW w:w="340" w:type="dxa"/>
            <w:vAlign w:val="bottom"/>
            <w:tcBorders>
              <w:top w:val="single" w:sz="8" w:color="auto"/>
            </w:tcBorders>
            <w:shd w:val="clear" w:color="auto" w:fill="CDFFCC"/>
          </w:tcPr>
          <w:p>
            <w:pPr>
              <w:spacing w:after="0"/>
              <w:rPr>
                <w:sz w:val="19"/>
                <w:szCs w:val="19"/>
                <w:color w:val="auto"/>
              </w:rPr>
            </w:pPr>
          </w:p>
        </w:tc>
        <w:tc>
          <w:tcPr>
            <w:tcW w:w="112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228"/>
        </w:trPr>
        <w:tc>
          <w:tcPr>
            <w:tcW w:w="6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Corporate assets</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6"/>
        </w:trPr>
        <w:tc>
          <w:tcPr>
            <w:tcW w:w="6640" w:type="dxa"/>
            <w:vAlign w:val="bottom"/>
            <w:tcBorders>
              <w:top w:val="single" w:sz="8" w:color="CDFFCC"/>
              <w:bottom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DFFCC"/>
              <w:bottom w:val="single" w:sz="8" w:color="CDFFCC"/>
            </w:tcBorders>
            <w:shd w:val="clear" w:color="auto" w:fill="CDFFCC"/>
          </w:tcPr>
          <w:p>
            <w:pPr>
              <w:spacing w:after="0"/>
              <w:rPr>
                <w:sz w:val="20"/>
                <w:szCs w:val="20"/>
                <w:color w:val="auto"/>
              </w:rPr>
            </w:pPr>
          </w:p>
        </w:tc>
        <w:tc>
          <w:tcPr>
            <w:tcW w:w="1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80" w:type="dxa"/>
            <w:vAlign w:val="bottom"/>
            <w:tcBorders>
              <w:top w:val="single" w:sz="8" w:color="CDFFCC"/>
              <w:bottom w:val="single" w:sz="8" w:color="CDFFCC"/>
            </w:tcBorders>
            <w:shd w:val="clear" w:color="auto" w:fill="CDFFCC"/>
          </w:tcPr>
          <w:p>
            <w:pPr>
              <w:spacing w:after="0"/>
              <w:rPr>
                <w:sz w:val="20"/>
                <w:szCs w:val="20"/>
                <w:color w:val="auto"/>
              </w:rPr>
            </w:pPr>
          </w:p>
        </w:tc>
        <w:tc>
          <w:tcPr>
            <w:tcW w:w="340" w:type="dxa"/>
            <w:vAlign w:val="bottom"/>
            <w:tcBorders>
              <w:top w:val="single" w:sz="8" w:color="auto"/>
              <w:bottom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5,510</w:t>
            </w:r>
          </w:p>
        </w:tc>
      </w:tr>
      <w:tr>
        <w:trPr>
          <w:trHeight w:val="20"/>
        </w:trPr>
        <w:tc>
          <w:tcPr>
            <w:tcW w:w="652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bottom w:val="single" w:sz="8" w:color="auto"/>
            </w:tcBorders>
          </w:tcPr>
          <w:p>
            <w:pPr>
              <w:spacing w:after="0" w:line="20" w:lineRule="exact"/>
              <w:rPr>
                <w:sz w:val="1"/>
                <w:szCs w:val="1"/>
                <w:color w:val="auto"/>
              </w:rPr>
            </w:pPr>
          </w:p>
        </w:tc>
        <w:tc>
          <w:tcPr>
            <w:tcW w:w="13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bottom w:val="single" w:sz="8" w:color="auto"/>
            </w:tcBorders>
          </w:tcPr>
          <w:p>
            <w:pPr>
              <w:spacing w:after="0" w:line="20" w:lineRule="exact"/>
              <w:rPr>
                <w:sz w:val="1"/>
                <w:szCs w:val="1"/>
                <w:color w:val="auto"/>
              </w:rPr>
            </w:pPr>
          </w:p>
        </w:tc>
        <w:tc>
          <w:tcPr>
            <w:tcW w:w="1360" w:type="dxa"/>
            <w:vAlign w:val="bottom"/>
            <w:tcBorders>
              <w:top w:val="single" w:sz="8" w:color="CDFFCC"/>
              <w:bottom w:val="single" w:sz="8" w:color="auto"/>
            </w:tcBorders>
          </w:tcPr>
          <w:p>
            <w:pPr>
              <w:spacing w:after="0" w:line="20" w:lineRule="exact"/>
              <w:rPr>
                <w:sz w:val="1"/>
                <w:szCs w:val="1"/>
                <w:color w:val="auto"/>
              </w:rPr>
            </w:pPr>
          </w:p>
        </w:tc>
        <w:tc>
          <w:tcPr>
            <w:tcW w:w="8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120" w:type="dxa"/>
            <w:vAlign w:val="bottom"/>
            <w:tcBorders>
              <w:top w:val="single" w:sz="8" w:color="CDFFCC"/>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7"/>
        <w:spacing w:after="0" w:line="252" w:lineRule="auto"/>
        <w:tabs>
          <w:tab w:leader="none" w:pos="24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assets for the Program Services segment is entirely comprised of Program fee receivables related to written premiums that are still unpaid at the reporting date. Unpaid amount are generally paid with 30-60 days after inception of the policy unless the program allows for premiums to be paid on installments. Other assets also includes fees due from Programs for contractual arrangements with minimum annual fees. Kestrel amortizes the minimum fee over the contract period.</w:t>
      </w:r>
    </w:p>
    <w:p>
      <w:pPr>
        <w:spacing w:after="0" w:line="59"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The financial information relating to net premiums written by major line of business within the Legacy Reinsurance segment for the three and six months ended June 30, 2025 are detailed below:</w:t>
      </w:r>
    </w:p>
    <w:p>
      <w:pPr>
        <w:spacing w:after="0" w:line="89"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48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1"/>
        </w:trPr>
        <w:tc>
          <w:tcPr>
            <w:tcW w:w="96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Diversified Legacy Reinsurance</w:t>
            </w: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28"/>
        </w:trPr>
        <w:tc>
          <w:tcPr>
            <w:tcW w:w="960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AmTrust Legacy Reinsurance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6"/>
        </w:trPr>
        <w:tc>
          <w:tcPr>
            <w:tcW w:w="9600" w:type="dxa"/>
            <w:vAlign w:val="bottom"/>
            <w:tcBorders>
              <w:bottom w:val="single" w:sz="8" w:color="CCFFCC"/>
            </w:tcBorders>
            <w:gridSpan w:val="2"/>
            <w:shd w:val="clear" w:color="auto" w:fill="CCFFCC"/>
          </w:tcPr>
          <w:p>
            <w:pPr>
              <w:ind w:left="40"/>
              <w:spacing w:after="0" w:line="221" w:lineRule="exact"/>
              <w:rPr>
                <w:sz w:val="20"/>
                <w:szCs w:val="20"/>
                <w:color w:val="auto"/>
              </w:rPr>
            </w:pPr>
            <w:r>
              <w:rPr>
                <w:rFonts w:ascii="Times New Roman" w:cs="Times New Roman" w:eastAsia="Times New Roman" w:hAnsi="Times New Roman"/>
                <w:sz w:val="18"/>
                <w:szCs w:val="18"/>
                <w:b w:val="1"/>
                <w:bCs w:val="1"/>
                <w:color w:val="auto"/>
              </w:rPr>
              <w:t>Legacy Reinsurance Segment</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94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Legacy Reinsurance segment results only include the post-combination period of May 28, 2025 to June 30, 2025.</w:t>
      </w:r>
    </w:p>
    <w:p>
      <w:pPr>
        <w:spacing w:after="0" w:line="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financial information for net premiums earned by major line of business within the Legacy Reinsurance segment for the three and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are detailed below:</w:t>
      </w:r>
    </w:p>
    <w:p>
      <w:pPr>
        <w:spacing w:after="0" w:line="88"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2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40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20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1"/>
        </w:trPr>
        <w:tc>
          <w:tcPr>
            <w:tcW w:w="96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Diversified Legacy Reinsurance</w:t>
            </w:r>
          </w:p>
        </w:tc>
        <w:tc>
          <w:tcPr>
            <w:tcW w:w="32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28"/>
        </w:trPr>
        <w:tc>
          <w:tcPr>
            <w:tcW w:w="960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AmTrust Legacy Reinsurance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46"/>
        </w:trPr>
        <w:tc>
          <w:tcPr>
            <w:tcW w:w="9600" w:type="dxa"/>
            <w:vAlign w:val="bottom"/>
            <w:tcBorders>
              <w:bottom w:val="single" w:sz="8" w:color="CCFFCC"/>
            </w:tcBorders>
            <w:gridSpan w:val="2"/>
            <w:shd w:val="clear" w:color="auto" w:fill="CCFFCC"/>
          </w:tcPr>
          <w:p>
            <w:pPr>
              <w:ind w:left="40"/>
              <w:spacing w:after="0" w:line="221" w:lineRule="exact"/>
              <w:rPr>
                <w:sz w:val="20"/>
                <w:szCs w:val="20"/>
                <w:color w:val="auto"/>
              </w:rPr>
            </w:pPr>
            <w:r>
              <w:rPr>
                <w:rFonts w:ascii="Times New Roman" w:cs="Times New Roman" w:eastAsia="Times New Roman" w:hAnsi="Times New Roman"/>
                <w:sz w:val="18"/>
                <w:szCs w:val="18"/>
                <w:b w:val="1"/>
                <w:bCs w:val="1"/>
                <w:color w:val="auto"/>
              </w:rPr>
              <w:t>Legacy Reinsurance Segment</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0"/>
        </w:trPr>
        <w:tc>
          <w:tcPr>
            <w:tcW w:w="94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00" w:hanging="232"/>
        <w:spacing w:after="0"/>
        <w:tabs>
          <w:tab w:leader="none" w:pos="4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Legacy Reinsurance segment results only include the post-combination period of May 28, 2025 to June 30, 2025.</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6"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92" w:lineRule="exact"/>
        <w:rPr>
          <w:sz w:val="20"/>
          <w:szCs w:val="20"/>
          <w:color w:val="auto"/>
        </w:rPr>
      </w:pPr>
    </w:p>
    <w:p>
      <w:pPr>
        <w:jc w:val="both"/>
        <w:ind w:right="20" w:firstLine="241"/>
        <w:spacing w:after="0" w:line="236" w:lineRule="auto"/>
        <w:rPr>
          <w:sz w:val="20"/>
          <w:szCs w:val="20"/>
          <w:color w:val="auto"/>
        </w:rPr>
      </w:pPr>
      <w:r>
        <w:rPr>
          <w:rFonts w:ascii="Times New Roman" w:cs="Times New Roman" w:eastAsia="Times New Roman" w:hAnsi="Times New Roman"/>
          <w:sz w:val="18"/>
          <w:szCs w:val="18"/>
          <w:color w:val="auto"/>
        </w:rPr>
        <w:t>The Company holds: (i) available-for-sale ("AFS") portfolios of fixed maturity and equity securities, carried at fair value; (ii) other investments carried at fair value; (iii) equity method investments using equity method accounting; and (iv) funds held - directly managed.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Fixed Maturities</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amortized cost, gross unrealized gains and losses, and fair value of fixed maturities at June 30, 2025 are as follows: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Original or amortized</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3"/>
                <w:szCs w:val="13"/>
                <w:color w:val="auto"/>
              </w:rPr>
            </w:pPr>
          </w:p>
        </w:tc>
        <w:tc>
          <w:tcPr>
            <w:tcW w:w="12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5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560" w:type="dxa"/>
            <w:vAlign w:val="bottom"/>
            <w:gridSpan w:val="3"/>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2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Borders>
              <w:top w:val="single" w:sz="8" w:color="CCFFCC"/>
            </w:tcBorders>
            <w:shd w:val="clear" w:color="auto" w:fill="CCFFCC"/>
          </w:tcPr>
          <w:p>
            <w:pPr>
              <w:spacing w:after="0"/>
              <w:rPr>
                <w:sz w:val="19"/>
                <w:szCs w:val="19"/>
                <w:color w:val="auto"/>
              </w:rPr>
            </w:pPr>
          </w:p>
        </w:tc>
        <w:tc>
          <w:tcPr>
            <w:tcW w:w="360" w:type="dxa"/>
            <w:vAlign w:val="bottom"/>
            <w:tcBorders>
              <w:top w:val="single" w:sz="8" w:color="auto"/>
            </w:tcBorders>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100" w:type="dxa"/>
            <w:vAlign w:val="bottom"/>
            <w:tcBorders>
              <w:top w:val="single" w:sz="8" w:color="CCFFCC"/>
            </w:tcBorders>
            <w:shd w:val="clear" w:color="auto" w:fill="CCFFCC"/>
          </w:tcPr>
          <w:p>
            <w:pPr>
              <w:spacing w:after="0"/>
              <w:rPr>
                <w:sz w:val="19"/>
                <w:szCs w:val="19"/>
                <w:color w:val="auto"/>
              </w:rPr>
            </w:pPr>
          </w:p>
        </w:tc>
        <w:tc>
          <w:tcPr>
            <w:tcW w:w="62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620" w:type="dxa"/>
            <w:vAlign w:val="bottom"/>
            <w:tcBorders>
              <w:top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0" w:type="dxa"/>
            <w:vAlign w:val="bottom"/>
          </w:tcPr>
          <w:p>
            <w:pPr>
              <w:spacing w:after="0"/>
              <w:rPr>
                <w:sz w:val="1"/>
                <w:szCs w:val="1"/>
                <w:color w:val="auto"/>
              </w:rPr>
            </w:pPr>
          </w:p>
        </w:tc>
      </w:tr>
      <w:tr>
        <w:trPr>
          <w:trHeight w:val="228"/>
        </w:trPr>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agency bonds – mortgage-backed</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0" w:type="dxa"/>
            <w:vAlign w:val="bottom"/>
          </w:tcPr>
          <w:p>
            <w:pPr>
              <w:spacing w:after="0"/>
              <w:rPr>
                <w:sz w:val="1"/>
                <w:szCs w:val="1"/>
                <w:color w:val="auto"/>
              </w:rPr>
            </w:pPr>
          </w:p>
        </w:tc>
      </w:tr>
      <w:tr>
        <w:trPr>
          <w:trHeight w:val="228"/>
        </w:trPr>
        <w:tc>
          <w:tcPr>
            <w:tcW w:w="50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Non-U.S. government bonds</w:t>
            </w:r>
          </w:p>
        </w:tc>
        <w:tc>
          <w:tcPr>
            <w:tcW w:w="36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54,005</w:t>
            </w: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0" w:type="dxa"/>
            <w:vAlign w:val="bottom"/>
          </w:tcPr>
          <w:p>
            <w:pPr>
              <w:spacing w:after="0"/>
              <w:rPr>
                <w:sz w:val="1"/>
                <w:szCs w:val="1"/>
                <w:color w:val="auto"/>
              </w:rPr>
            </w:pPr>
          </w:p>
        </w:tc>
      </w:tr>
      <w:tr>
        <w:trPr>
          <w:trHeight w:val="228"/>
        </w:trPr>
        <w:tc>
          <w:tcPr>
            <w:tcW w:w="5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0" w:type="dxa"/>
            <w:vAlign w:val="bottom"/>
          </w:tcPr>
          <w:p>
            <w:pPr>
              <w:spacing w:after="0"/>
              <w:rPr>
                <w:sz w:val="1"/>
                <w:szCs w:val="1"/>
                <w:color w:val="auto"/>
              </w:rPr>
            </w:pPr>
          </w:p>
        </w:tc>
      </w:tr>
      <w:tr>
        <w:trPr>
          <w:trHeight w:val="228"/>
        </w:trPr>
        <w:tc>
          <w:tcPr>
            <w:tcW w:w="50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FFCC"/>
          </w:tcPr>
          <w:p>
            <w:pPr>
              <w:spacing w:after="0"/>
              <w:rPr>
                <w:sz w:val="19"/>
                <w:szCs w:val="19"/>
                <w:color w:val="auto"/>
              </w:rPr>
            </w:pPr>
          </w:p>
        </w:tc>
        <w:tc>
          <w:tcPr>
            <w:tcW w:w="62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0" w:type="dxa"/>
            <w:vAlign w:val="bottom"/>
          </w:tcPr>
          <w:p>
            <w:pPr>
              <w:spacing w:after="0"/>
              <w:rPr>
                <w:sz w:val="1"/>
                <w:szCs w:val="1"/>
                <w:color w:val="auto"/>
              </w:rPr>
            </w:pPr>
          </w:p>
        </w:tc>
      </w:tr>
      <w:tr>
        <w:trPr>
          <w:trHeight w:val="22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fixed maturity investments</w:t>
            </w:r>
          </w:p>
        </w:tc>
        <w:tc>
          <w:tcPr>
            <w:tcW w:w="3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205,323</w:t>
            </w: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Original or amortized</w:t>
            </w:r>
          </w:p>
        </w:tc>
        <w:tc>
          <w:tcPr>
            <w:tcW w:w="1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FFFFFF"/>
              </w:rPr>
              <w:t>Gross unrealized gains</w:t>
            </w: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FFFFFF"/>
              </w:rPr>
              <w:t>Gross unrealized losses</w:t>
            </w:r>
          </w:p>
        </w:tc>
        <w:tc>
          <w:tcPr>
            <w:tcW w:w="260" w:type="dxa"/>
            <w:vAlign w:val="bottom"/>
          </w:tcPr>
          <w:p>
            <w:pPr>
              <w:spacing w:after="0"/>
              <w:rPr>
                <w:sz w:val="24"/>
                <w:szCs w:val="24"/>
                <w:color w:val="auto"/>
              </w:rPr>
            </w:pPr>
          </w:p>
        </w:tc>
        <w:tc>
          <w:tcPr>
            <w:tcW w:w="12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0" w:type="dxa"/>
            <w:vAlign w:val="bottom"/>
          </w:tcPr>
          <w:p>
            <w:pPr>
              <w:spacing w:after="0"/>
              <w:rPr>
                <w:sz w:val="1"/>
                <w:szCs w:val="1"/>
                <w:color w:val="auto"/>
              </w:rPr>
            </w:pPr>
          </w:p>
        </w:tc>
      </w:tr>
      <w:tr>
        <w:trPr>
          <w:trHeight w:val="187"/>
        </w:trPr>
        <w:tc>
          <w:tcPr>
            <w:tcW w:w="50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FFFFFF"/>
              </w:rPr>
              <w:t>cost</w:t>
            </w:r>
          </w:p>
        </w:tc>
        <w:tc>
          <w:tcPr>
            <w:tcW w:w="1560" w:type="dxa"/>
            <w:vAlign w:val="bottom"/>
            <w:gridSpan w:val="3"/>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282"/>
        <w:spacing w:after="0" w:line="227" w:lineRule="auto"/>
        <w:rPr>
          <w:sz w:val="20"/>
          <w:szCs w:val="20"/>
          <w:color w:val="auto"/>
        </w:rPr>
      </w:pPr>
      <w:r>
        <w:rPr>
          <w:rFonts w:ascii="Times New Roman" w:cs="Times New Roman" w:eastAsia="Times New Roman" w:hAnsi="Times New Roman"/>
          <w:sz w:val="17"/>
          <w:szCs w:val="17"/>
          <w:color w:val="auto"/>
        </w:rPr>
        <w:t>The Company separately presents the accrued interest receivable balance on its AFS fixed maturity investments on the Condensed Consolidated Balance Sheets under accrued investment income. The amount of accrued interest receivable on AFS securities was $658 at June 30, 2025. The Company has elected the practical expedient to exclude accrued interest from both the fair value and the amortized cost basis of the AFS fixed maturity securities for the purposes</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of identifying and measuring any impairments under the allowance for expected credit losses standard. Write-offs of accrued interest receivable balances are recognized in net investment gains and losses in the period in which they are deemed uncollectible. There was no write-off recognized on the accrued interest receivable during the three and six months ended June 30, 2025.</w:t>
      </w:r>
    </w:p>
    <w:p>
      <w:pPr>
        <w:spacing w:after="0" w:line="62" w:lineRule="exact"/>
        <w:rPr>
          <w:sz w:val="20"/>
          <w:szCs w:val="20"/>
          <w:color w:val="auto"/>
        </w:rPr>
      </w:pPr>
    </w:p>
    <w:p>
      <w:pPr>
        <w:jc w:val="both"/>
        <w:ind w:firstLine="282"/>
        <w:spacing w:after="0" w:line="236" w:lineRule="auto"/>
        <w:rPr>
          <w:sz w:val="20"/>
          <w:szCs w:val="20"/>
          <w:color w:val="auto"/>
        </w:rPr>
      </w:pPr>
      <w:r>
        <w:rPr>
          <w:rFonts w:ascii="Times New Roman" w:cs="Times New Roman" w:eastAsia="Times New Roman" w:hAnsi="Times New Roman"/>
          <w:sz w:val="18"/>
          <w:szCs w:val="18"/>
          <w:color w:val="auto"/>
        </w:rPr>
        <w:t>The contractual maturities of our fixed maturities are shown below. Actual maturities may differ from contractual maturities because borrowers may have the right to call or prepay obligations with or without call or prepayment penalties.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1"/>
        </w:trPr>
        <w:tc>
          <w:tcPr>
            <w:tcW w:w="80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Due in one year or less</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94,117</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94,097</w:t>
            </w:r>
          </w:p>
        </w:tc>
      </w:tr>
      <w:tr>
        <w:trPr>
          <w:trHeight w:val="228"/>
        </w:trPr>
        <w:tc>
          <w:tcPr>
            <w:tcW w:w="8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20,046</w:t>
            </w:r>
          </w:p>
        </w:tc>
      </w:tr>
      <w:tr>
        <w:trPr>
          <w:trHeight w:val="228"/>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1"/>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114,648</w:t>
            </w:r>
          </w:p>
        </w:tc>
      </w:tr>
      <w:tr>
        <w:trPr>
          <w:trHeight w:val="228"/>
        </w:trPr>
        <w:tc>
          <w:tcPr>
            <w:tcW w:w="81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U.S. agency bonds – mortgage-backed</w:t>
            </w:r>
          </w:p>
        </w:tc>
        <w:tc>
          <w:tcPr>
            <w:tcW w:w="18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22,467</w:t>
            </w:r>
          </w:p>
        </w:tc>
      </w:tr>
      <w:tr>
        <w:trPr>
          <w:trHeight w:val="228"/>
        </w:trPr>
        <w:tc>
          <w:tcPr>
            <w:tcW w:w="81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10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68,686</w:t>
            </w:r>
          </w:p>
        </w:tc>
      </w:tr>
      <w:tr>
        <w:trPr>
          <w:trHeight w:val="246"/>
        </w:trPr>
        <w:tc>
          <w:tcPr>
            <w:tcW w:w="818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fixed maturity investments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205,323</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205,801</w:t>
            </w:r>
          </w:p>
        </w:tc>
      </w:tr>
      <w:tr>
        <w:trPr>
          <w:trHeight w:val="20"/>
        </w:trPr>
        <w:tc>
          <w:tcPr>
            <w:tcW w:w="80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82"/>
        <w:spacing w:after="0" w:line="236" w:lineRule="auto"/>
        <w:rPr>
          <w:sz w:val="20"/>
          <w:szCs w:val="20"/>
          <w:color w:val="auto"/>
        </w:rPr>
      </w:pPr>
      <w:r>
        <w:rPr>
          <w:rFonts w:ascii="Times New Roman" w:cs="Times New Roman" w:eastAsia="Times New Roman" w:hAnsi="Times New Roman"/>
          <w:sz w:val="18"/>
          <w:szCs w:val="18"/>
          <w:color w:val="auto"/>
        </w:rPr>
        <w:t>The following tables summarize fixed maturities in an unrealized loss position and the aggregate fair value and gross unrealized loss by length of time the security has continuously been in an unrealized loss position:</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20" w:type="dxa"/>
            <w:vAlign w:val="bottom"/>
          </w:tcPr>
          <w:p>
            <w:pPr>
              <w:spacing w:after="0"/>
              <w:rPr>
                <w:sz w:val="16"/>
                <w:szCs w:val="16"/>
                <w:color w:val="auto"/>
              </w:rPr>
            </w:pPr>
          </w:p>
        </w:tc>
        <w:tc>
          <w:tcPr>
            <w:tcW w:w="20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95"/>
              <w:spacing w:after="0" w:line="12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20"/>
              <w:spacing w:after="0" w:line="12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140"/>
              <w:spacing w:after="0" w:line="128"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5"/>
              <w:spacing w:after="0" w:line="12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4"/>
        </w:trPr>
        <w:tc>
          <w:tcPr>
            <w:tcW w:w="4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28"/>
        </w:trPr>
        <w:tc>
          <w:tcPr>
            <w:tcW w:w="424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Borders>
              <w:top w:val="single" w:sz="8" w:color="CCFFCC"/>
            </w:tcBorders>
            <w:shd w:val="clear" w:color="auto" w:fill="CCFFCC"/>
          </w:tcPr>
          <w:p>
            <w:pPr>
              <w:spacing w:after="0"/>
              <w:rPr>
                <w:sz w:val="19"/>
                <w:szCs w:val="19"/>
                <w:color w:val="auto"/>
              </w:rPr>
            </w:pPr>
          </w:p>
        </w:tc>
        <w:tc>
          <w:tcPr>
            <w:tcW w:w="220" w:type="dxa"/>
            <w:vAlign w:val="bottom"/>
            <w:tcBorders>
              <w:top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220" w:type="dxa"/>
            <w:vAlign w:val="bottom"/>
            <w:tcBorders>
              <w:top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20,855</w:t>
            </w:r>
          </w:p>
        </w:tc>
        <w:tc>
          <w:tcPr>
            <w:tcW w:w="10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agency bonds – mortgage-backed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8"/>
        </w:trPr>
        <w:tc>
          <w:tcPr>
            <w:tcW w:w="436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Non-U.S. government bonds</w:t>
            </w: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38,907</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38,907</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8"/>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436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20" w:type="dxa"/>
            <w:vAlign w:val="bottom"/>
            <w:gridSpan w:val="2"/>
            <w:shd w:val="clear" w:color="auto" w:fill="CCFFC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temporarily impaired fixed maturities</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8"/>
          <w:szCs w:val="18"/>
          <w:color w:val="auto"/>
        </w:rPr>
        <w:t>At June 30, 2025, there were 19 securities in an unrealized loss position for less than 12 months with a fair value of $106,726 and unrealized losses of $41.</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 &amp; Non-Credit Related Impairment Costs</w:t>
      </w:r>
    </w:p>
    <w:p>
      <w:pPr>
        <w:spacing w:after="0" w:line="90"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Company evaluates AFS securities for impairment when fair value is below amortized cost on a quarterly basis. If the Company intends to sell or will be required to sell the security before its anticipated recovery, the full amount of the impairment loss is charged to net income (loss) and included in net investment gains (losses). If the Company does not intend to sell or will not be required to sell the security before its anticipated recovery, an allowance for</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expected credit losses is established and the portion of the loss relating to credit factors is recorded in net income (loss). The non-credit impairment amount of the loss (which could be related to interest rates and/or market conditions) is recognized in other comprehensive income.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 estimate the allowance for expected credit losses for most of the AFS securities, the Company analyzes projected cash flows which are primarily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driven by assumptions regarding loss severity, probability of default and projected recovery rates. The Company's determination of default and loss severity rates are based on credit rating, credit analysis and macroeconomic forecasts. Unrealized losses on securities issued or backed, either explicitly or implicitly by the U.S. government are not analyzed for credit losses. The Company has concluded that any possibility of a credit loss on these securities is highly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unlikely due to the explicit U.S. government guarantee related to certain securities (e.g., Government National Mortgage Association issuances) and the implicit guarantee related to other securities that has been validated by past actions (e.g., U.S. government bailout of Federal National Mortgage Association and Federal Home Loan Mortgage Corporation during the 2008 credit crisis). Although these securities are not analyzed for credit losses, they are evaluated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impairment based on the Company's intention to sell and likely requirement to sell.</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Based on the Company's analysis at June 30, 2025, the unrealized gains on the Company’s AFS fixed maturity securities were due to non-credit factors and were expected to be recovered as the related securities approach maturity. At June 30, 2025, the Company did not intend to sell the securities in an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unrealized loss position and it is not more likely than not that the Company will be required to sell these securities before the anticipated recovery of their amortized costs. Therefore, there was no allowance recorded for expected credit losses on AFS securities for the three and six months ended June 30, 2025.</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tables summarize the credit ratings of our fixed maturities as at June 30,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3"/>
                <w:szCs w:val="13"/>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4"/>
        </w:trPr>
        <w:tc>
          <w:tcPr>
            <w:tcW w:w="6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6380" w:type="dxa"/>
            <w:vAlign w:val="bottom"/>
            <w:tcBorders>
              <w:top w:val="single" w:sz="8" w:color="auto"/>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Borders>
              <w:top w:val="single" w:sz="8" w:color="CCFFCC"/>
            </w:tcBorders>
            <w:shd w:val="clear" w:color="auto" w:fill="CCFFCC"/>
          </w:tcPr>
          <w:p>
            <w:pPr>
              <w:spacing w:after="0"/>
              <w:rPr>
                <w:sz w:val="19"/>
                <w:szCs w:val="19"/>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120" w:type="dxa"/>
            <w:vAlign w:val="bottom"/>
            <w:tcBorders>
              <w:top w:val="single" w:sz="8" w:color="CCFFCC"/>
            </w:tcBorders>
            <w:shd w:val="clear" w:color="auto" w:fill="CCFFCC"/>
          </w:tcPr>
          <w:p>
            <w:pPr>
              <w:spacing w:after="0"/>
              <w:rPr>
                <w:sz w:val="19"/>
                <w:szCs w:val="19"/>
                <w:color w:val="auto"/>
              </w:rPr>
            </w:pPr>
          </w:p>
        </w:tc>
        <w:tc>
          <w:tcPr>
            <w:tcW w:w="260" w:type="dxa"/>
            <w:vAlign w:val="bottom"/>
            <w:tcBorders>
              <w:top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100" w:type="dxa"/>
            <w:vAlign w:val="bottom"/>
            <w:tcBorders>
              <w:top w:val="single" w:sz="8" w:color="CCFFCC"/>
            </w:tcBorders>
            <w:shd w:val="clear" w:color="auto" w:fill="CCFFCC"/>
          </w:tcPr>
          <w:p>
            <w:pPr>
              <w:spacing w:after="0"/>
              <w:rPr>
                <w:sz w:val="19"/>
                <w:szCs w:val="19"/>
                <w:color w:val="auto"/>
              </w:rPr>
            </w:pPr>
          </w:p>
        </w:tc>
        <w:tc>
          <w:tcPr>
            <w:tcW w:w="16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28"/>
        </w:trPr>
        <w:tc>
          <w:tcPr>
            <w:tcW w:w="6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agency bonds – mortgage-backed</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28"/>
        </w:trPr>
        <w:tc>
          <w:tcPr>
            <w:tcW w:w="65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AAA</w:t>
            </w: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80,201</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80,201</w:t>
            </w:r>
          </w:p>
        </w:tc>
        <w:tc>
          <w:tcPr>
            <w:tcW w:w="1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228"/>
        </w:trPr>
        <w:tc>
          <w:tcPr>
            <w:tcW w:w="6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AA+, AA, AA-</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0" w:type="dxa"/>
            <w:vAlign w:val="bottom"/>
          </w:tcPr>
          <w:p>
            <w:pPr>
              <w:spacing w:after="0"/>
              <w:rPr>
                <w:sz w:val="1"/>
                <w:szCs w:val="1"/>
                <w:color w:val="auto"/>
              </w:rPr>
            </w:pPr>
          </w:p>
        </w:tc>
      </w:tr>
      <w:tr>
        <w:trPr>
          <w:trHeight w:val="228"/>
        </w:trPr>
        <w:tc>
          <w:tcPr>
            <w:tcW w:w="65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 A, A-</w:t>
            </w:r>
          </w:p>
        </w:tc>
        <w:tc>
          <w:tcPr>
            <w:tcW w:w="1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12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8"/>
        </w:trPr>
        <w:tc>
          <w:tcPr>
            <w:tcW w:w="650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BBB+, BBB, BBB-</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20" w:type="dxa"/>
            <w:vAlign w:val="bottom"/>
            <w:tcBorders>
              <w:bottom w:val="single" w:sz="8" w:color="CCFF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CCFFCC"/>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6"/>
        </w:trPr>
        <w:tc>
          <w:tcPr>
            <w:tcW w:w="6500" w:type="dxa"/>
            <w:vAlign w:val="bottom"/>
            <w:tcBorders>
              <w:bottom w:val="single" w:sz="8" w:color="CCFFCC"/>
            </w:tcBorders>
            <w:gridSpan w:val="2"/>
            <w:shd w:val="clear" w:color="auto" w:fill="CCFFCC"/>
          </w:tcPr>
          <w:p>
            <w:pPr>
              <w:ind w:left="60"/>
              <w:spacing w:after="0" w:line="221" w:lineRule="exact"/>
              <w:rPr>
                <w:sz w:val="20"/>
                <w:szCs w:val="20"/>
                <w:color w:val="auto"/>
              </w:rPr>
            </w:pPr>
            <w:r>
              <w:rPr>
                <w:rFonts w:ascii="Times New Roman" w:cs="Times New Roman" w:eastAsia="Times New Roman" w:hAnsi="Times New Roman"/>
                <w:sz w:val="18"/>
                <w:szCs w:val="18"/>
                <w:b w:val="1"/>
                <w:bCs w:val="1"/>
                <w:color w:val="auto"/>
              </w:rPr>
              <w:t xml:space="preserve">Total fixed maturities </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205,323</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205,801</w:t>
            </w:r>
          </w:p>
        </w:tc>
        <w:tc>
          <w:tcPr>
            <w:tcW w:w="100" w:type="dxa"/>
            <w:vAlign w:val="bottom"/>
            <w:tcBorders>
              <w:bottom w:val="single" w:sz="8" w:color="CCFFCC"/>
            </w:tcBorders>
            <w:shd w:val="clear" w:color="auto" w:fill="CCFFCC"/>
          </w:tcPr>
          <w:p>
            <w:pPr>
              <w:spacing w:after="0"/>
              <w:rPr>
                <w:sz w:val="20"/>
                <w:szCs w:val="20"/>
                <w:color w:val="auto"/>
              </w:rPr>
            </w:pPr>
          </w:p>
        </w:tc>
        <w:tc>
          <w:tcPr>
            <w:tcW w:w="16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3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2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64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FFFFFF"/>
              </w:rPr>
              <w:t>Amortized cost</w:t>
            </w:r>
          </w:p>
        </w:tc>
        <w:tc>
          <w:tcPr>
            <w:tcW w:w="16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Ratings above are based on Standard &amp; Poor’s ("S&amp;P"), or equivalent, ratings.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Other Investments, Equity Securities and Equity Method Investments</w:t>
      </w:r>
    </w:p>
    <w:p>
      <w:pPr>
        <w:spacing w:after="0" w:line="92" w:lineRule="exact"/>
        <w:rPr>
          <w:sz w:val="20"/>
          <w:szCs w:val="20"/>
          <w:color w:val="auto"/>
        </w:rPr>
      </w:pPr>
    </w:p>
    <w:p>
      <w:pPr>
        <w:jc w:val="both"/>
        <w:ind w:firstLine="241"/>
        <w:spacing w:after="0" w:line="211" w:lineRule="auto"/>
        <w:rPr>
          <w:sz w:val="20"/>
          <w:szCs w:val="20"/>
          <w:color w:val="auto"/>
        </w:rPr>
      </w:pPr>
      <w:r>
        <w:rPr>
          <w:rFonts w:ascii="Times New Roman" w:cs="Times New Roman" w:eastAsia="Times New Roman" w:hAnsi="Times New Roman"/>
          <w:sz w:val="18"/>
          <w:szCs w:val="18"/>
          <w:color w:val="auto"/>
        </w:rPr>
        <w:t>Certain of the Company's other investments and equity method investments are subject to restrictions on redemptions and sales that are determined by the governing documents, which could limit our ability to liquidate those investments. These restrictions may include lock-ups, redemption gates, restricted share classes, restrictions on the frequency of redemption and notice periods. A gate is the ability to deny or delay a redemption request. Certain other investments and equity method investments may not have any restrictions governing their sale, but there is no active market and no assurance that the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Company will be able to execute a sale in a timely manner. In addition, even if certain other investments and equity method investments are not eligible for redemption or sales are restricted, we may still receive income distributions from those investments.</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The collateralized investments in direct lending entities of $49,978 at June 30, 2025 are carried at fair market value. ASC 825-10: </w:t>
      </w:r>
      <w:r>
        <w:rPr>
          <w:rFonts w:ascii="Times New Roman" w:cs="Times New Roman" w:eastAsia="Times New Roman" w:hAnsi="Times New Roman"/>
          <w:sz w:val="18"/>
          <w:szCs w:val="18"/>
          <w:i w:val="1"/>
          <w:iCs w:val="1"/>
          <w:color w:val="auto"/>
        </w:rPr>
        <w:t>Financial Instruments</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provides a measurement basis election for most financial instruments using a choice of either historical cost or fair value, including other investments, allowing reporting entities to mitigate potential mismatches that arise under the current mixed measurement attribute model. In connection with the Combination on May 27, 2025, the assets and liabilities of Maiden were recorded at their fair values measured as of the acquisition date. The Company has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elected the fair value option for its investments in direct lending entities, and these investments are reported at fair value as of June 30, 2025. Please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5(d). Fair Value Measurements </w:t>
      </w:r>
      <w:r>
        <w:rPr>
          <w:rFonts w:ascii="Times New Roman" w:cs="Times New Roman" w:eastAsia="Times New Roman" w:hAnsi="Times New Roman"/>
          <w:sz w:val="18"/>
          <w:szCs w:val="18"/>
          <w:color w:val="auto"/>
        </w:rPr>
        <w:t>for additional information regarding this investment.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left="60" w:right="9220" w:firstLine="7"/>
        <w:spacing w:after="0" w:line="356" w:lineRule="auto"/>
        <w:tabs>
          <w:tab w:leader="none" w:pos="239"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(continued) </w:t>
      </w:r>
      <w:r>
        <w:rPr>
          <w:rFonts w:ascii="Times New Roman" w:cs="Times New Roman" w:eastAsia="Times New Roman" w:hAnsi="Times New Roman"/>
          <w:sz w:val="17"/>
          <w:szCs w:val="17"/>
          <w:i w:val="1"/>
          <w:iCs w:val="1"/>
          <w:color w:val="auto"/>
        </w:rPr>
        <w:t>Other investments</w:t>
      </w:r>
    </w:p>
    <w:p>
      <w:pPr>
        <w:ind w:left="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table shows the composition of the Company's other investments at fair value as of June 30, 2025:</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Pr>
          <w:p>
            <w:pPr>
              <w:spacing w:after="0"/>
              <w:rPr>
                <w:sz w:val="16"/>
                <w:szCs w:val="16"/>
                <w:color w:val="auto"/>
              </w:rPr>
            </w:pPr>
          </w:p>
        </w:tc>
      </w:tr>
      <w:tr>
        <w:trPr>
          <w:trHeight w:val="25"/>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8"/>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w w:val="99"/>
              </w:rPr>
              <w:t>% of Total</w:t>
            </w:r>
          </w:p>
        </w:tc>
      </w:tr>
      <w:tr>
        <w:trPr>
          <w:trHeight w:val="228"/>
        </w:trPr>
        <w:tc>
          <w:tcPr>
            <w:tcW w:w="810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Private equity funds</w:t>
            </w:r>
          </w:p>
        </w:tc>
        <w:tc>
          <w:tcPr>
            <w:tcW w:w="240" w:type="dxa"/>
            <w:vAlign w:val="bottom"/>
            <w:tcBorders>
              <w:top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Borders>
              <w:top w:val="single" w:sz="8" w:color="CCFFCC"/>
            </w:tcBorders>
            <w:shd w:val="clear" w:color="auto" w:fill="CCFFCC"/>
          </w:tcPr>
          <w:p>
            <w:pPr>
              <w:spacing w:after="0"/>
              <w:rPr>
                <w:sz w:val="19"/>
                <w:szCs w:val="19"/>
                <w:color w:val="auto"/>
              </w:rPr>
            </w:pPr>
          </w:p>
        </w:tc>
        <w:tc>
          <w:tcPr>
            <w:tcW w:w="440" w:type="dxa"/>
            <w:vAlign w:val="bottom"/>
            <w:tcBorders>
              <w:top w:val="single" w:sz="8" w:color="auto"/>
            </w:tcBorders>
            <w:shd w:val="clear" w:color="auto" w:fill="CCFFCC"/>
          </w:tcPr>
          <w:p>
            <w:pPr>
              <w:spacing w:after="0"/>
              <w:rPr>
                <w:sz w:val="19"/>
                <w:szCs w:val="19"/>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Privately held equity investments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8"/>
        </w:trPr>
        <w:tc>
          <w:tcPr>
            <w:tcW w:w="8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Private credit investments</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8"/>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 with fair value option elected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228"/>
        </w:trPr>
        <w:tc>
          <w:tcPr>
            <w:tcW w:w="81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Investments in direct lending entities</w:t>
            </w:r>
          </w:p>
        </w:tc>
        <w:tc>
          <w:tcPr>
            <w:tcW w:w="24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100" w:type="dxa"/>
            <w:vAlign w:val="bottom"/>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30.9 %</w:t>
            </w:r>
          </w:p>
        </w:tc>
      </w:tr>
      <w:tr>
        <w:trPr>
          <w:trHeight w:val="221"/>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investments at fair value</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162,105</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77" w:lineRule="exact"/>
        <w:rPr>
          <w:sz w:val="20"/>
          <w:szCs w:val="20"/>
          <w:color w:val="auto"/>
        </w:rPr>
      </w:pPr>
    </w:p>
    <w:p>
      <w:pPr>
        <w:jc w:val="both"/>
        <w:ind w:left="60" w:firstLine="241"/>
        <w:spacing w:after="0" w:line="221" w:lineRule="auto"/>
        <w:rPr>
          <w:sz w:val="20"/>
          <w:szCs w:val="20"/>
          <w:color w:val="auto"/>
        </w:rPr>
      </w:pPr>
      <w:r>
        <w:rPr>
          <w:rFonts w:ascii="Times New Roman" w:cs="Times New Roman" w:eastAsia="Times New Roman" w:hAnsi="Times New Roman"/>
          <w:sz w:val="18"/>
          <w:szCs w:val="18"/>
          <w:color w:val="auto"/>
        </w:rPr>
        <w:t>Equity securities include privately held equity investments in common and preferred stocks. The Company's privately held equity investments in common and preferred stocks are direct investments in companies that the Company believes offer attractive risk adjusted returns or offer other strategic</w:t>
      </w:r>
    </w:p>
    <w:p>
      <w:pPr>
        <w:spacing w:after="0" w:line="1" w:lineRule="exact"/>
        <w:rPr>
          <w:sz w:val="20"/>
          <w:szCs w:val="20"/>
          <w:color w:val="auto"/>
        </w:rPr>
      </w:pPr>
    </w:p>
    <w:p>
      <w:pPr>
        <w:jc w:val="both"/>
        <w:ind w:left="60" w:right="20"/>
        <w:spacing w:after="0" w:line="224" w:lineRule="auto"/>
        <w:rPr>
          <w:sz w:val="20"/>
          <w:szCs w:val="20"/>
          <w:color w:val="auto"/>
        </w:rPr>
      </w:pPr>
      <w:r>
        <w:rPr>
          <w:rFonts w:ascii="Times New Roman" w:cs="Times New Roman" w:eastAsia="Times New Roman" w:hAnsi="Times New Roman"/>
          <w:sz w:val="18"/>
          <w:szCs w:val="18"/>
          <w:color w:val="auto"/>
        </w:rPr>
        <w:t>advantages. Each investment may have its own unique terms and conditions and there may be restrictions on disposals. There is no active market for these investments.</w:t>
      </w:r>
    </w:p>
    <w:p>
      <w:pPr>
        <w:spacing w:after="0" w:line="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the cost and fair values of the equity securities held at June 30, 2025:</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Pr>
          <w:p>
            <w:pPr>
              <w:spacing w:after="0"/>
              <w:rPr>
                <w:sz w:val="16"/>
                <w:szCs w:val="16"/>
                <w:color w:val="auto"/>
              </w:rPr>
            </w:pPr>
          </w:p>
        </w:tc>
      </w:tr>
      <w:tr>
        <w:trPr>
          <w:trHeight w:val="25"/>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8260" w:type="dxa"/>
            <w:vAlign w:val="bottom"/>
            <w:tcBorders>
              <w:bottom w:val="single" w:sz="8" w:color="CCFFCC"/>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8"/>
        </w:trPr>
        <w:tc>
          <w:tcPr>
            <w:tcW w:w="826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Privately held common stocks</w:t>
            </w:r>
          </w:p>
        </w:tc>
        <w:tc>
          <w:tcPr>
            <w:tcW w:w="880" w:type="dxa"/>
            <w:vAlign w:val="bottom"/>
            <w:shd w:val="clear" w:color="auto" w:fill="CCFFCC"/>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shd w:val="clear" w:color="auto" w:fill="CCFFCC"/>
          </w:tcPr>
          <w:p>
            <w:pPr>
              <w:spacing w:after="0"/>
              <w:rPr>
                <w:sz w:val="19"/>
                <w:szCs w:val="19"/>
                <w:color w:val="auto"/>
              </w:rPr>
            </w:pPr>
          </w:p>
        </w:tc>
        <w:tc>
          <w:tcPr>
            <w:tcW w:w="380" w:type="dxa"/>
            <w:vAlign w:val="bottom"/>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5,181</w:t>
            </w:r>
          </w:p>
        </w:tc>
      </w:tr>
      <w:tr>
        <w:trPr>
          <w:trHeight w:val="228"/>
        </w:trPr>
        <w:tc>
          <w:tcPr>
            <w:tcW w:w="8260" w:type="dxa"/>
            <w:vAlign w:val="bottom"/>
            <w:tcBorders>
              <w:bottom w:val="single" w:sz="8" w:color="CCFFCC"/>
            </w:tcBorders>
          </w:tcPr>
          <w:p>
            <w:pPr>
              <w:ind w:left="80"/>
              <w:spacing w:after="0"/>
              <w:rPr>
                <w:sz w:val="20"/>
                <w:szCs w:val="20"/>
                <w:color w:val="auto"/>
              </w:rPr>
            </w:pPr>
            <w:r>
              <w:rPr>
                <w:rFonts w:ascii="Times New Roman" w:cs="Times New Roman" w:eastAsia="Times New Roman" w:hAnsi="Times New Roman"/>
                <w:sz w:val="18"/>
                <w:szCs w:val="18"/>
                <w:color w:val="auto"/>
              </w:rPr>
              <w:t>Privately held preferred stocks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FF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r>
      <w:tr>
        <w:trPr>
          <w:trHeight w:val="246"/>
        </w:trPr>
        <w:tc>
          <w:tcPr>
            <w:tcW w:w="826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880" w:type="dxa"/>
            <w:vAlign w:val="bottom"/>
            <w:tcBorders>
              <w:bottom w:val="single" w:sz="8" w:color="auto"/>
            </w:tcBorders>
            <w:shd w:val="clear" w:color="auto" w:fill="CCFFCC"/>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2"/>
              </w:rPr>
              <w:t>11,145</w:t>
            </w:r>
          </w:p>
        </w:tc>
        <w:tc>
          <w:tcPr>
            <w:tcW w:w="10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auto"/>
            </w:tcBorders>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11,191</w:t>
            </w:r>
          </w:p>
        </w:tc>
      </w:tr>
      <w:tr>
        <w:trPr>
          <w:trHeight w:val="20"/>
        </w:trPr>
        <w:tc>
          <w:tcPr>
            <w:tcW w:w="8260" w:type="dxa"/>
            <w:vAlign w:val="bottom"/>
            <w:tcBorders>
              <w:top w:val="single" w:sz="8" w:color="CCFFCC"/>
            </w:tcBorders>
          </w:tcPr>
          <w:p>
            <w:pPr>
              <w:spacing w:after="0" w:line="20" w:lineRule="exact"/>
              <w:rPr>
                <w:sz w:val="1"/>
                <w:szCs w:val="1"/>
                <w:color w:val="auto"/>
              </w:rPr>
            </w:pPr>
          </w:p>
        </w:tc>
        <w:tc>
          <w:tcPr>
            <w:tcW w:w="880" w:type="dxa"/>
            <w:vAlign w:val="bottom"/>
            <w:tcBorders>
              <w:top w:val="single" w:sz="8" w:color="CCFFCC"/>
              <w:bottom w:val="single" w:sz="8" w:color="auto"/>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1060" w:type="dxa"/>
            <w:vAlign w:val="bottom"/>
            <w:tcBorders>
              <w:top w:val="single" w:sz="8" w:color="CCFFCC"/>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privately held securities held at June 30, 2025 are subject to contractual sale restrictions. Each of these investments are subject to agreements that</w:t>
      </w:r>
    </w:p>
    <w:p>
      <w:pPr>
        <w:spacing w:after="0" w:line="1" w:lineRule="exact"/>
        <w:rPr>
          <w:sz w:val="20"/>
          <w:szCs w:val="20"/>
          <w:color w:val="auto"/>
        </w:rPr>
      </w:pPr>
    </w:p>
    <w:p>
      <w:pPr>
        <w:jc w:val="both"/>
        <w:ind w:left="60"/>
        <w:spacing w:after="0" w:line="217" w:lineRule="auto"/>
        <w:rPr>
          <w:sz w:val="20"/>
          <w:szCs w:val="20"/>
          <w:color w:val="auto"/>
        </w:rPr>
      </w:pPr>
      <w:r>
        <w:rPr>
          <w:rFonts w:ascii="Times New Roman" w:cs="Times New Roman" w:eastAsia="Times New Roman" w:hAnsi="Times New Roman"/>
          <w:sz w:val="18"/>
          <w:szCs w:val="18"/>
          <w:color w:val="auto"/>
        </w:rPr>
        <w:t>restrict the transfer, sale, and indemnification of these privately held investments indefinitely. The Company must hold these shares indefinitely unless the investee's shares are registered with the SEC and qualified by state authorities, or until an exemption from such registration and qualification requirements may become available.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Nature of contractual sale</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Circumstances that could</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3"/>
                <w:szCs w:val="13"/>
                <w:color w:val="auto"/>
              </w:rPr>
            </w:pPr>
          </w:p>
        </w:tc>
        <w:tc>
          <w:tcPr>
            <w:tcW w:w="144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6"/>
                <w:szCs w:val="16"/>
                <w:b w:val="1"/>
                <w:bCs w:val="1"/>
                <w:color w:val="auto"/>
              </w:rPr>
              <w:t>duration of</w:t>
            </w:r>
          </w:p>
        </w:tc>
        <w:tc>
          <w:tcPr>
            <w:tcW w:w="2620" w:type="dxa"/>
            <w:vAlign w:val="bottom"/>
            <w:gridSpan w:val="2"/>
            <w:vMerge w:val="continue"/>
          </w:tcPr>
          <w:p>
            <w:pPr>
              <w:spacing w:after="0"/>
              <w:rPr>
                <w:sz w:val="13"/>
                <w:szCs w:val="13"/>
                <w:color w:val="auto"/>
              </w:rPr>
            </w:pPr>
          </w:p>
        </w:tc>
        <w:tc>
          <w:tcPr>
            <w:tcW w:w="2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460" w:type="dxa"/>
            <w:vAlign w:val="bottom"/>
            <w:tcBorders>
              <w:bottom w:val="single" w:sz="8" w:color="CDFFC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DFFCC"/>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restrictions</w:t>
            </w:r>
          </w:p>
        </w:tc>
        <w:tc>
          <w:tcPr>
            <w:tcW w:w="100" w:type="dxa"/>
            <w:vAlign w:val="bottom"/>
            <w:tcBorders>
              <w:bottom w:val="single" w:sz="8" w:color="CDFFCC"/>
            </w:tcBorders>
          </w:tcPr>
          <w:p>
            <w:pPr>
              <w:spacing w:after="0"/>
              <w:rPr>
                <w:sz w:val="18"/>
                <w:szCs w:val="18"/>
                <w:color w:val="auto"/>
              </w:rPr>
            </w:pPr>
          </w:p>
        </w:tc>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restrictions</w:t>
            </w:r>
          </w:p>
        </w:tc>
        <w:tc>
          <w:tcPr>
            <w:tcW w:w="80" w:type="dxa"/>
            <w:vAlign w:val="bottom"/>
            <w:tcBorders>
              <w:bottom w:val="single" w:sz="8" w:color="CDFFCC"/>
            </w:tcBorders>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cause a lapse in restrictions</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3460" w:type="dxa"/>
            <w:vAlign w:val="bottom"/>
            <w:vMerge w:val="restart"/>
            <w:shd w:val="clear" w:color="auto" w:fill="CDFFCC"/>
          </w:tcPr>
          <w:p>
            <w:pPr>
              <w:ind w:left="140"/>
              <w:spacing w:after="0"/>
              <w:rPr>
                <w:sz w:val="20"/>
                <w:szCs w:val="20"/>
                <w:color w:val="auto"/>
              </w:rPr>
            </w:pPr>
            <w:r>
              <w:rPr>
                <w:rFonts w:ascii="Times New Roman" w:cs="Times New Roman" w:eastAsia="Times New Roman" w:hAnsi="Times New Roman"/>
                <w:sz w:val="18"/>
                <w:szCs w:val="18"/>
                <w:color w:val="auto"/>
              </w:rPr>
              <w:t>Privately held common stocks</w:t>
            </w:r>
          </w:p>
        </w:tc>
        <w:tc>
          <w:tcPr>
            <w:tcW w:w="240" w:type="dxa"/>
            <w:vAlign w:val="bottom"/>
            <w:vMerge w:val="restart"/>
            <w:shd w:val="clear" w:color="auto" w:fill="CDFFC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20" w:type="dxa"/>
            <w:vAlign w:val="bottom"/>
            <w:shd w:val="clear" w:color="auto" w:fill="CDFFCC"/>
          </w:tcPr>
          <w:p>
            <w:pPr>
              <w:spacing w:after="0"/>
              <w:rPr>
                <w:sz w:val="13"/>
                <w:szCs w:val="13"/>
                <w:color w:val="auto"/>
              </w:rPr>
            </w:pPr>
          </w:p>
        </w:tc>
        <w:tc>
          <w:tcPr>
            <w:tcW w:w="134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2620" w:type="dxa"/>
            <w:vAlign w:val="bottom"/>
            <w:gridSpan w:val="2"/>
            <w:vMerge w:val="restart"/>
            <w:shd w:val="clear" w:color="auto" w:fill="CDFFCC"/>
          </w:tcPr>
          <w:p>
            <w:pPr>
              <w:jc w:val="center"/>
              <w:ind w:right="100"/>
              <w:spacing w:after="0"/>
              <w:rPr>
                <w:sz w:val="20"/>
                <w:szCs w:val="20"/>
                <w:color w:val="auto"/>
              </w:rPr>
            </w:pPr>
            <w:r>
              <w:rPr>
                <w:rFonts w:ascii="Times New Roman" w:cs="Times New Roman" w:eastAsia="Times New Roman" w:hAnsi="Times New Roman"/>
                <w:sz w:val="16"/>
                <w:szCs w:val="16"/>
                <w:color w:val="auto"/>
              </w:rPr>
              <w:t>The Purchaser must hold the restricted</w:t>
            </w:r>
          </w:p>
        </w:tc>
        <w:tc>
          <w:tcPr>
            <w:tcW w:w="2180" w:type="dxa"/>
            <w:vAlign w:val="bottom"/>
            <w:shd w:val="clear" w:color="auto" w:fill="CDFFCC"/>
          </w:tcPr>
          <w:p>
            <w:pPr>
              <w:jc w:val="center"/>
              <w:spacing w:after="0" w:line="156" w:lineRule="exact"/>
              <w:rPr>
                <w:sz w:val="20"/>
                <w:szCs w:val="20"/>
                <w:color w:val="auto"/>
              </w:rPr>
            </w:pPr>
            <w:r>
              <w:rPr>
                <w:rFonts w:ascii="Times New Roman" w:cs="Times New Roman" w:eastAsia="Times New Roman" w:hAnsi="Times New Roman"/>
                <w:sz w:val="16"/>
                <w:szCs w:val="16"/>
                <w:color w:val="auto"/>
              </w:rPr>
              <w:t>Registration of securities with</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460" w:type="dxa"/>
            <w:vAlign w:val="bottom"/>
            <w:vMerge w:val="continue"/>
            <w:shd w:val="clear" w:color="auto" w:fill="CDFFCC"/>
          </w:tcPr>
          <w:p>
            <w:pPr>
              <w:spacing w:after="0"/>
              <w:rPr>
                <w:sz w:val="6"/>
                <w:szCs w:val="6"/>
                <w:color w:val="auto"/>
              </w:rPr>
            </w:pPr>
          </w:p>
        </w:tc>
        <w:tc>
          <w:tcPr>
            <w:tcW w:w="240" w:type="dxa"/>
            <w:vAlign w:val="bottom"/>
            <w:vMerge w:val="continue"/>
            <w:shd w:val="clear" w:color="auto" w:fill="CDFFCC"/>
          </w:tcPr>
          <w:p>
            <w:pPr>
              <w:spacing w:after="0"/>
              <w:rPr>
                <w:sz w:val="6"/>
                <w:szCs w:val="6"/>
                <w:color w:val="auto"/>
              </w:rPr>
            </w:pPr>
          </w:p>
        </w:tc>
        <w:tc>
          <w:tcPr>
            <w:tcW w:w="1180" w:type="dxa"/>
            <w:vAlign w:val="bottom"/>
            <w:vMerge w:val="continue"/>
            <w:shd w:val="clear" w:color="auto" w:fill="CDFFCC"/>
          </w:tcPr>
          <w:p>
            <w:pPr>
              <w:spacing w:after="0"/>
              <w:rPr>
                <w:sz w:val="6"/>
                <w:szCs w:val="6"/>
                <w:color w:val="auto"/>
              </w:rPr>
            </w:pPr>
          </w:p>
        </w:tc>
        <w:tc>
          <w:tcPr>
            <w:tcW w:w="120" w:type="dxa"/>
            <w:vAlign w:val="bottom"/>
            <w:shd w:val="clear" w:color="auto" w:fill="CDFFCC"/>
          </w:tcPr>
          <w:p>
            <w:pPr>
              <w:spacing w:after="0"/>
              <w:rPr>
                <w:sz w:val="6"/>
                <w:szCs w:val="6"/>
                <w:color w:val="auto"/>
              </w:rPr>
            </w:pPr>
          </w:p>
        </w:tc>
        <w:tc>
          <w:tcPr>
            <w:tcW w:w="1440" w:type="dxa"/>
            <w:vAlign w:val="bottom"/>
            <w:gridSpan w:val="2"/>
            <w:vMerge w:val="restart"/>
            <w:shd w:val="clear" w:color="auto" w:fill="CDFFCC"/>
          </w:tcPr>
          <w:p>
            <w:pPr>
              <w:jc w:val="center"/>
              <w:ind w:right="100"/>
              <w:spacing w:after="0" w:line="161" w:lineRule="exact"/>
              <w:rPr>
                <w:sz w:val="20"/>
                <w:szCs w:val="20"/>
                <w:color w:val="auto"/>
              </w:rPr>
            </w:pPr>
            <w:r>
              <w:rPr>
                <w:rFonts w:ascii="Times New Roman" w:cs="Times New Roman" w:eastAsia="Times New Roman" w:hAnsi="Times New Roman"/>
                <w:sz w:val="16"/>
                <w:szCs w:val="16"/>
                <w:color w:val="auto"/>
                <w:w w:val="99"/>
              </w:rPr>
              <w:t>Indefinite</w:t>
            </w:r>
          </w:p>
        </w:tc>
        <w:tc>
          <w:tcPr>
            <w:tcW w:w="2620" w:type="dxa"/>
            <w:vAlign w:val="bottom"/>
            <w:gridSpan w:val="2"/>
            <w:vMerge w:val="continue"/>
            <w:shd w:val="clear" w:color="auto" w:fill="CDFFCC"/>
          </w:tcPr>
          <w:p>
            <w:pPr>
              <w:spacing w:after="0"/>
              <w:rPr>
                <w:sz w:val="6"/>
                <w:szCs w:val="6"/>
                <w:color w:val="auto"/>
              </w:rPr>
            </w:pPr>
          </w:p>
        </w:tc>
        <w:tc>
          <w:tcPr>
            <w:tcW w:w="2180" w:type="dxa"/>
            <w:vAlign w:val="bottom"/>
            <w:vMerge w:val="restart"/>
            <w:shd w:val="clear" w:color="auto" w:fill="CDFFCC"/>
          </w:tcPr>
          <w:p>
            <w:pPr>
              <w:jc w:val="center"/>
              <w:spacing w:after="0" w:line="161" w:lineRule="exact"/>
              <w:rPr>
                <w:sz w:val="20"/>
                <w:szCs w:val="20"/>
                <w:color w:val="auto"/>
              </w:rPr>
            </w:pPr>
            <w:r>
              <w:rPr>
                <w:rFonts w:ascii="Times New Roman" w:cs="Times New Roman" w:eastAsia="Times New Roman" w:hAnsi="Times New Roman"/>
                <w:sz w:val="16"/>
                <w:szCs w:val="16"/>
                <w:color w:val="auto"/>
              </w:rPr>
              <w:t>the SEC or if exemption is</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460" w:type="dxa"/>
            <w:vAlign w:val="bottom"/>
            <w:vMerge w:val="continue"/>
            <w:shd w:val="clear" w:color="auto" w:fill="CDFFCC"/>
          </w:tcPr>
          <w:p>
            <w:pPr>
              <w:spacing w:after="0"/>
              <w:rPr>
                <w:sz w:val="6"/>
                <w:szCs w:val="6"/>
                <w:color w:val="auto"/>
              </w:rPr>
            </w:pPr>
          </w:p>
        </w:tc>
        <w:tc>
          <w:tcPr>
            <w:tcW w:w="240" w:type="dxa"/>
            <w:vAlign w:val="bottom"/>
            <w:vMerge w:val="continue"/>
            <w:shd w:val="clear" w:color="auto" w:fill="CDFFCC"/>
          </w:tcPr>
          <w:p>
            <w:pPr>
              <w:spacing w:after="0"/>
              <w:rPr>
                <w:sz w:val="6"/>
                <w:szCs w:val="6"/>
                <w:color w:val="auto"/>
              </w:rPr>
            </w:pPr>
          </w:p>
        </w:tc>
        <w:tc>
          <w:tcPr>
            <w:tcW w:w="1180" w:type="dxa"/>
            <w:vAlign w:val="bottom"/>
            <w:vMerge w:val="continue"/>
            <w:shd w:val="clear" w:color="auto" w:fill="CDFFCC"/>
          </w:tcPr>
          <w:p>
            <w:pPr>
              <w:spacing w:after="0"/>
              <w:rPr>
                <w:sz w:val="6"/>
                <w:szCs w:val="6"/>
                <w:color w:val="auto"/>
              </w:rPr>
            </w:pPr>
          </w:p>
        </w:tc>
        <w:tc>
          <w:tcPr>
            <w:tcW w:w="120" w:type="dxa"/>
            <w:vAlign w:val="bottom"/>
            <w:shd w:val="clear" w:color="auto" w:fill="CDFFCC"/>
          </w:tcPr>
          <w:p>
            <w:pPr>
              <w:spacing w:after="0"/>
              <w:rPr>
                <w:sz w:val="6"/>
                <w:szCs w:val="6"/>
                <w:color w:val="auto"/>
              </w:rPr>
            </w:pPr>
          </w:p>
        </w:tc>
        <w:tc>
          <w:tcPr>
            <w:tcW w:w="1440" w:type="dxa"/>
            <w:vAlign w:val="bottom"/>
            <w:gridSpan w:val="2"/>
            <w:vMerge w:val="continue"/>
            <w:shd w:val="clear" w:color="auto" w:fill="CDFFCC"/>
          </w:tcPr>
          <w:p>
            <w:pPr>
              <w:spacing w:after="0"/>
              <w:rPr>
                <w:sz w:val="6"/>
                <w:szCs w:val="6"/>
                <w:color w:val="auto"/>
              </w:rPr>
            </w:pPr>
          </w:p>
        </w:tc>
        <w:tc>
          <w:tcPr>
            <w:tcW w:w="2620" w:type="dxa"/>
            <w:vAlign w:val="bottom"/>
            <w:gridSpan w:val="2"/>
            <w:vMerge w:val="restart"/>
            <w:shd w:val="clear" w:color="auto" w:fill="CDFFCC"/>
          </w:tcPr>
          <w:p>
            <w:pPr>
              <w:jc w:val="center"/>
              <w:ind w:right="80"/>
              <w:spacing w:after="0"/>
              <w:rPr>
                <w:sz w:val="20"/>
                <w:szCs w:val="20"/>
                <w:color w:val="auto"/>
              </w:rPr>
            </w:pPr>
            <w:r>
              <w:rPr>
                <w:rFonts w:ascii="Times New Roman" w:cs="Times New Roman" w:eastAsia="Times New Roman" w:hAnsi="Times New Roman"/>
                <w:sz w:val="16"/>
                <w:szCs w:val="16"/>
                <w:color w:val="auto"/>
              </w:rPr>
              <w:t>shares indefinitely</w:t>
            </w:r>
          </w:p>
        </w:tc>
        <w:tc>
          <w:tcPr>
            <w:tcW w:w="2180" w:type="dxa"/>
            <w:vAlign w:val="bottom"/>
            <w:vMerge w:val="continue"/>
            <w:shd w:val="clear" w:color="auto" w:fill="CDFFCC"/>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460" w:type="dxa"/>
            <w:vAlign w:val="bottom"/>
            <w:shd w:val="clear" w:color="auto" w:fill="CDFFCC"/>
          </w:tcPr>
          <w:p>
            <w:pPr>
              <w:spacing w:after="0"/>
              <w:rPr>
                <w:sz w:val="11"/>
                <w:szCs w:val="11"/>
                <w:color w:val="auto"/>
              </w:rPr>
            </w:pPr>
          </w:p>
        </w:tc>
        <w:tc>
          <w:tcPr>
            <w:tcW w:w="240" w:type="dxa"/>
            <w:vAlign w:val="bottom"/>
            <w:shd w:val="clear" w:color="auto" w:fill="CDFFCC"/>
          </w:tcPr>
          <w:p>
            <w:pPr>
              <w:spacing w:after="0"/>
              <w:rPr>
                <w:sz w:val="11"/>
                <w:szCs w:val="11"/>
                <w:color w:val="auto"/>
              </w:rPr>
            </w:pPr>
          </w:p>
        </w:tc>
        <w:tc>
          <w:tcPr>
            <w:tcW w:w="1180" w:type="dxa"/>
            <w:vAlign w:val="bottom"/>
            <w:shd w:val="clear" w:color="auto" w:fill="CDFFCC"/>
          </w:tcPr>
          <w:p>
            <w:pPr>
              <w:spacing w:after="0"/>
              <w:rPr>
                <w:sz w:val="11"/>
                <w:szCs w:val="11"/>
                <w:color w:val="auto"/>
              </w:rPr>
            </w:pPr>
          </w:p>
        </w:tc>
        <w:tc>
          <w:tcPr>
            <w:tcW w:w="120" w:type="dxa"/>
            <w:vAlign w:val="bottom"/>
            <w:shd w:val="clear" w:color="auto" w:fill="CDFFCC"/>
          </w:tcPr>
          <w:p>
            <w:pPr>
              <w:spacing w:after="0"/>
              <w:rPr>
                <w:sz w:val="11"/>
                <w:szCs w:val="11"/>
                <w:color w:val="auto"/>
              </w:rPr>
            </w:pPr>
          </w:p>
        </w:tc>
        <w:tc>
          <w:tcPr>
            <w:tcW w:w="1340" w:type="dxa"/>
            <w:vAlign w:val="bottom"/>
            <w:shd w:val="clear" w:color="auto" w:fill="CDFFCC"/>
          </w:tcPr>
          <w:p>
            <w:pPr>
              <w:spacing w:after="0"/>
              <w:rPr>
                <w:sz w:val="11"/>
                <w:szCs w:val="11"/>
                <w:color w:val="auto"/>
              </w:rPr>
            </w:pPr>
          </w:p>
        </w:tc>
        <w:tc>
          <w:tcPr>
            <w:tcW w:w="100" w:type="dxa"/>
            <w:vAlign w:val="bottom"/>
            <w:shd w:val="clear" w:color="auto" w:fill="CDFFCC"/>
          </w:tcPr>
          <w:p>
            <w:pPr>
              <w:spacing w:after="0"/>
              <w:rPr>
                <w:sz w:val="11"/>
                <w:szCs w:val="11"/>
                <w:color w:val="auto"/>
              </w:rPr>
            </w:pPr>
          </w:p>
        </w:tc>
        <w:tc>
          <w:tcPr>
            <w:tcW w:w="2620" w:type="dxa"/>
            <w:vAlign w:val="bottom"/>
            <w:gridSpan w:val="2"/>
            <w:vMerge w:val="continue"/>
            <w:shd w:val="clear" w:color="auto" w:fill="CDFFCC"/>
          </w:tcPr>
          <w:p>
            <w:pPr>
              <w:spacing w:after="0"/>
              <w:rPr>
                <w:sz w:val="11"/>
                <w:szCs w:val="11"/>
                <w:color w:val="auto"/>
              </w:rPr>
            </w:pPr>
          </w:p>
        </w:tc>
        <w:tc>
          <w:tcPr>
            <w:tcW w:w="2180" w:type="dxa"/>
            <w:vAlign w:val="bottom"/>
            <w:vMerge w:val="restart"/>
            <w:shd w:val="clear" w:color="auto" w:fill="CDFFCC"/>
          </w:tcPr>
          <w:p>
            <w:pPr>
              <w:jc w:val="center"/>
              <w:spacing w:after="0"/>
              <w:rPr>
                <w:sz w:val="20"/>
                <w:szCs w:val="20"/>
                <w:color w:val="auto"/>
              </w:rPr>
            </w:pPr>
            <w:r>
              <w:rPr>
                <w:rFonts w:ascii="Times New Roman" w:cs="Times New Roman" w:eastAsia="Times New Roman" w:hAnsi="Times New Roman"/>
                <w:sz w:val="16"/>
                <w:szCs w:val="16"/>
                <w:color w:val="auto"/>
              </w:rPr>
              <w:t>available</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460" w:type="dxa"/>
            <w:vAlign w:val="bottom"/>
            <w:shd w:val="clear" w:color="auto" w:fill="CDFFCC"/>
          </w:tcPr>
          <w:p>
            <w:pPr>
              <w:spacing w:after="0"/>
              <w:rPr>
                <w:sz w:val="7"/>
                <w:szCs w:val="7"/>
                <w:color w:val="auto"/>
              </w:rPr>
            </w:pPr>
          </w:p>
        </w:tc>
        <w:tc>
          <w:tcPr>
            <w:tcW w:w="240" w:type="dxa"/>
            <w:vAlign w:val="bottom"/>
            <w:shd w:val="clear" w:color="auto" w:fill="CDFFCC"/>
          </w:tcPr>
          <w:p>
            <w:pPr>
              <w:spacing w:after="0"/>
              <w:rPr>
                <w:sz w:val="7"/>
                <w:szCs w:val="7"/>
                <w:color w:val="auto"/>
              </w:rPr>
            </w:pPr>
          </w:p>
        </w:tc>
        <w:tc>
          <w:tcPr>
            <w:tcW w:w="1180" w:type="dxa"/>
            <w:vAlign w:val="bottom"/>
            <w:shd w:val="clear" w:color="auto" w:fill="CDFFCC"/>
          </w:tcPr>
          <w:p>
            <w:pPr>
              <w:spacing w:after="0"/>
              <w:rPr>
                <w:sz w:val="7"/>
                <w:szCs w:val="7"/>
                <w:color w:val="auto"/>
              </w:rPr>
            </w:pPr>
          </w:p>
        </w:tc>
        <w:tc>
          <w:tcPr>
            <w:tcW w:w="120" w:type="dxa"/>
            <w:vAlign w:val="bottom"/>
            <w:shd w:val="clear" w:color="auto" w:fill="CDFFCC"/>
          </w:tcPr>
          <w:p>
            <w:pPr>
              <w:spacing w:after="0"/>
              <w:rPr>
                <w:sz w:val="7"/>
                <w:szCs w:val="7"/>
                <w:color w:val="auto"/>
              </w:rPr>
            </w:pPr>
          </w:p>
        </w:tc>
        <w:tc>
          <w:tcPr>
            <w:tcW w:w="1340" w:type="dxa"/>
            <w:vAlign w:val="bottom"/>
            <w:shd w:val="clear" w:color="auto" w:fill="CDFFCC"/>
          </w:tcPr>
          <w:p>
            <w:pPr>
              <w:spacing w:after="0"/>
              <w:rPr>
                <w:sz w:val="7"/>
                <w:szCs w:val="7"/>
                <w:color w:val="auto"/>
              </w:rPr>
            </w:pPr>
          </w:p>
        </w:tc>
        <w:tc>
          <w:tcPr>
            <w:tcW w:w="100" w:type="dxa"/>
            <w:vAlign w:val="bottom"/>
            <w:shd w:val="clear" w:color="auto" w:fill="CDFFCC"/>
          </w:tcPr>
          <w:p>
            <w:pPr>
              <w:spacing w:after="0"/>
              <w:rPr>
                <w:sz w:val="7"/>
                <w:szCs w:val="7"/>
                <w:color w:val="auto"/>
              </w:rPr>
            </w:pPr>
          </w:p>
        </w:tc>
        <w:tc>
          <w:tcPr>
            <w:tcW w:w="2540" w:type="dxa"/>
            <w:vAlign w:val="bottom"/>
            <w:shd w:val="clear" w:color="auto" w:fill="CDFFCC"/>
          </w:tcPr>
          <w:p>
            <w:pPr>
              <w:spacing w:after="0"/>
              <w:rPr>
                <w:sz w:val="7"/>
                <w:szCs w:val="7"/>
                <w:color w:val="auto"/>
              </w:rPr>
            </w:pPr>
          </w:p>
        </w:tc>
        <w:tc>
          <w:tcPr>
            <w:tcW w:w="80" w:type="dxa"/>
            <w:vAlign w:val="bottom"/>
            <w:shd w:val="clear" w:color="auto" w:fill="CDFFCC"/>
          </w:tcPr>
          <w:p>
            <w:pPr>
              <w:spacing w:after="0"/>
              <w:rPr>
                <w:sz w:val="7"/>
                <w:szCs w:val="7"/>
                <w:color w:val="auto"/>
              </w:rPr>
            </w:pPr>
          </w:p>
        </w:tc>
        <w:tc>
          <w:tcPr>
            <w:tcW w:w="2180" w:type="dxa"/>
            <w:vAlign w:val="bottom"/>
            <w:vMerge w:val="continue"/>
            <w:shd w:val="clear" w:color="auto" w:fill="CDFFCC"/>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3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Privately held preferred stocks</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The Purchaser must hold the restricted</w:t>
            </w:r>
          </w:p>
        </w:tc>
        <w:tc>
          <w:tcPr>
            <w:tcW w:w="21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Registration of securities with</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restart"/>
          </w:tcPr>
          <w:p>
            <w:pPr>
              <w:jc w:val="center"/>
              <w:ind w:right="100"/>
              <w:spacing w:after="0" w:line="161" w:lineRule="exact"/>
              <w:rPr>
                <w:sz w:val="20"/>
                <w:szCs w:val="20"/>
                <w:color w:val="auto"/>
              </w:rPr>
            </w:pPr>
            <w:r>
              <w:rPr>
                <w:rFonts w:ascii="Times New Roman" w:cs="Times New Roman" w:eastAsia="Times New Roman" w:hAnsi="Times New Roman"/>
                <w:sz w:val="16"/>
                <w:szCs w:val="16"/>
                <w:color w:val="auto"/>
                <w:w w:val="99"/>
              </w:rPr>
              <w:t>Indefinite</w:t>
            </w:r>
          </w:p>
        </w:tc>
        <w:tc>
          <w:tcPr>
            <w:tcW w:w="2620" w:type="dxa"/>
            <w:vAlign w:val="bottom"/>
            <w:gridSpan w:val="2"/>
            <w:vMerge w:val="continue"/>
          </w:tcPr>
          <w:p>
            <w:pPr>
              <w:spacing w:after="0"/>
              <w:rPr>
                <w:sz w:val="6"/>
                <w:szCs w:val="6"/>
                <w:color w:val="auto"/>
              </w:rPr>
            </w:pPr>
          </w:p>
        </w:tc>
        <w:tc>
          <w:tcPr>
            <w:tcW w:w="2180" w:type="dxa"/>
            <w:vAlign w:val="bottom"/>
            <w:vMerge w:val="restart"/>
          </w:tcPr>
          <w:p>
            <w:pPr>
              <w:jc w:val="center"/>
              <w:spacing w:after="0" w:line="161" w:lineRule="exact"/>
              <w:rPr>
                <w:sz w:val="20"/>
                <w:szCs w:val="20"/>
                <w:color w:val="auto"/>
              </w:rPr>
            </w:pPr>
            <w:r>
              <w:rPr>
                <w:rFonts w:ascii="Times New Roman" w:cs="Times New Roman" w:eastAsia="Times New Roman" w:hAnsi="Times New Roman"/>
                <w:sz w:val="16"/>
                <w:szCs w:val="16"/>
                <w:color w:val="auto"/>
              </w:rPr>
              <w:t>the SEC or if exemption is</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shares indefinitely</w:t>
            </w:r>
          </w:p>
        </w:tc>
        <w:tc>
          <w:tcPr>
            <w:tcW w:w="2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gridSpan w:val="2"/>
            <w:vMerge w:val="continue"/>
          </w:tcPr>
          <w:p>
            <w:pPr>
              <w:spacing w:after="0"/>
              <w:rPr>
                <w:sz w:val="11"/>
                <w:szCs w:val="11"/>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available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460" w:type="dxa"/>
            <w:vAlign w:val="bottom"/>
            <w:tcBorders>
              <w:bottom w:val="single" w:sz="8" w:color="CDFFCC"/>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DFFCC"/>
            </w:tcBorders>
          </w:tcPr>
          <w:p>
            <w:pPr>
              <w:spacing w:after="0"/>
              <w:rPr>
                <w:sz w:val="6"/>
                <w:szCs w:val="6"/>
                <w:color w:val="auto"/>
              </w:rPr>
            </w:pPr>
          </w:p>
        </w:tc>
        <w:tc>
          <w:tcPr>
            <w:tcW w:w="1340" w:type="dxa"/>
            <w:vAlign w:val="bottom"/>
            <w:tcBorders>
              <w:bottom w:val="single" w:sz="8" w:color="CDFFCC"/>
            </w:tcBorders>
          </w:tcPr>
          <w:p>
            <w:pPr>
              <w:spacing w:after="0"/>
              <w:rPr>
                <w:sz w:val="6"/>
                <w:szCs w:val="6"/>
                <w:color w:val="auto"/>
              </w:rPr>
            </w:pPr>
          </w:p>
        </w:tc>
        <w:tc>
          <w:tcPr>
            <w:tcW w:w="100" w:type="dxa"/>
            <w:vAlign w:val="bottom"/>
            <w:tcBorders>
              <w:bottom w:val="single" w:sz="8" w:color="CDFFCC"/>
            </w:tcBorders>
          </w:tcPr>
          <w:p>
            <w:pPr>
              <w:spacing w:after="0"/>
              <w:rPr>
                <w:sz w:val="6"/>
                <w:szCs w:val="6"/>
                <w:color w:val="auto"/>
              </w:rPr>
            </w:pPr>
          </w:p>
        </w:tc>
        <w:tc>
          <w:tcPr>
            <w:tcW w:w="2540" w:type="dxa"/>
            <w:vAlign w:val="bottom"/>
            <w:tcBorders>
              <w:bottom w:val="single" w:sz="8" w:color="CDFFCC"/>
            </w:tcBorders>
          </w:tcPr>
          <w:p>
            <w:pPr>
              <w:spacing w:after="0"/>
              <w:rPr>
                <w:sz w:val="6"/>
                <w:szCs w:val="6"/>
                <w:color w:val="auto"/>
              </w:rPr>
            </w:pPr>
          </w:p>
        </w:tc>
        <w:tc>
          <w:tcPr>
            <w:tcW w:w="80" w:type="dxa"/>
            <w:vAlign w:val="bottom"/>
            <w:tcBorders>
              <w:bottom w:val="single" w:sz="8" w:color="CDFFCC"/>
            </w:tcBorders>
          </w:tcPr>
          <w:p>
            <w:pPr>
              <w:spacing w:after="0"/>
              <w:rPr>
                <w:sz w:val="6"/>
                <w:szCs w:val="6"/>
                <w:color w:val="auto"/>
              </w:rPr>
            </w:pPr>
          </w:p>
        </w:tc>
        <w:tc>
          <w:tcPr>
            <w:tcW w:w="2180" w:type="dxa"/>
            <w:vAlign w:val="bottom"/>
            <w:tcBorders>
              <w:bottom w:val="single" w:sz="8" w:color="CDFFC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3460" w:type="dxa"/>
            <w:vAlign w:val="bottom"/>
            <w:shd w:val="clear" w:color="auto" w:fill="CDFFCC"/>
          </w:tcPr>
          <w:p>
            <w:pPr>
              <w:spacing w:after="0" w:line="159" w:lineRule="exact"/>
              <w:rPr>
                <w:sz w:val="20"/>
                <w:szCs w:val="20"/>
                <w:color w:val="auto"/>
              </w:rPr>
            </w:pPr>
            <w:r>
              <w:rPr>
                <w:rFonts w:ascii="Times New Roman" w:cs="Times New Roman" w:eastAsia="Times New Roman" w:hAnsi="Times New Roman"/>
                <w:sz w:val="18"/>
                <w:szCs w:val="18"/>
                <w:b w:val="1"/>
                <w:bCs w:val="1"/>
                <w:color w:val="auto"/>
              </w:rPr>
              <w:t>otal equity securities subject to contractual</w:t>
            </w:r>
          </w:p>
        </w:tc>
        <w:tc>
          <w:tcPr>
            <w:tcW w:w="240" w:type="dxa"/>
            <w:vAlign w:val="bottom"/>
            <w:vMerge w:val="restart"/>
            <w:shd w:val="clear" w:color="auto" w:fill="CDFFC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20" w:type="dxa"/>
            <w:vAlign w:val="bottom"/>
            <w:shd w:val="clear" w:color="auto" w:fill="CDFFCC"/>
          </w:tcPr>
          <w:p>
            <w:pPr>
              <w:spacing w:after="0"/>
              <w:rPr>
                <w:sz w:val="13"/>
                <w:szCs w:val="13"/>
                <w:color w:val="auto"/>
              </w:rPr>
            </w:pPr>
          </w:p>
        </w:tc>
        <w:tc>
          <w:tcPr>
            <w:tcW w:w="1340" w:type="dxa"/>
            <w:vAlign w:val="bottom"/>
            <w:shd w:val="clear" w:color="auto" w:fill="CDFFCC"/>
          </w:tcPr>
          <w:p>
            <w:pPr>
              <w:spacing w:after="0"/>
              <w:rPr>
                <w:sz w:val="13"/>
                <w:szCs w:val="13"/>
                <w:color w:val="auto"/>
              </w:rPr>
            </w:pPr>
          </w:p>
        </w:tc>
        <w:tc>
          <w:tcPr>
            <w:tcW w:w="100" w:type="dxa"/>
            <w:vAlign w:val="bottom"/>
            <w:shd w:val="clear" w:color="auto" w:fill="CDFFCC"/>
          </w:tcPr>
          <w:p>
            <w:pPr>
              <w:spacing w:after="0"/>
              <w:rPr>
                <w:sz w:val="13"/>
                <w:szCs w:val="13"/>
                <w:color w:val="auto"/>
              </w:rPr>
            </w:pPr>
          </w:p>
        </w:tc>
        <w:tc>
          <w:tcPr>
            <w:tcW w:w="2540" w:type="dxa"/>
            <w:vAlign w:val="bottom"/>
            <w:shd w:val="clear" w:color="auto" w:fill="CDFFCC"/>
          </w:tcPr>
          <w:p>
            <w:pPr>
              <w:spacing w:after="0"/>
              <w:rPr>
                <w:sz w:val="13"/>
                <w:szCs w:val="13"/>
                <w:color w:val="auto"/>
              </w:rPr>
            </w:pPr>
          </w:p>
        </w:tc>
        <w:tc>
          <w:tcPr>
            <w:tcW w:w="80" w:type="dxa"/>
            <w:vAlign w:val="bottom"/>
            <w:shd w:val="clear" w:color="auto" w:fill="CDFFCC"/>
          </w:tcPr>
          <w:p>
            <w:pPr>
              <w:spacing w:after="0"/>
              <w:rPr>
                <w:sz w:val="13"/>
                <w:szCs w:val="13"/>
                <w:color w:val="auto"/>
              </w:rPr>
            </w:pPr>
          </w:p>
        </w:tc>
        <w:tc>
          <w:tcPr>
            <w:tcW w:w="2180" w:type="dxa"/>
            <w:vAlign w:val="bottom"/>
            <w:shd w:val="clear" w:color="auto" w:fill="CDFF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460" w:type="dxa"/>
            <w:vAlign w:val="bottom"/>
            <w:tcBorders>
              <w:bottom w:val="single" w:sz="8" w:color="CDFFCC"/>
            </w:tcBorders>
            <w:shd w:val="clear" w:color="auto" w:fill="CDFFCC"/>
          </w:tcPr>
          <w:p>
            <w:pPr>
              <w:ind w:left="1080"/>
              <w:spacing w:after="0"/>
              <w:rPr>
                <w:sz w:val="20"/>
                <w:szCs w:val="20"/>
                <w:color w:val="auto"/>
              </w:rPr>
            </w:pPr>
            <w:r>
              <w:rPr>
                <w:rFonts w:ascii="Times New Roman" w:cs="Times New Roman" w:eastAsia="Times New Roman" w:hAnsi="Times New Roman"/>
                <w:sz w:val="18"/>
                <w:szCs w:val="18"/>
                <w:b w:val="1"/>
                <w:bCs w:val="1"/>
                <w:color w:val="auto"/>
              </w:rPr>
              <w:t>sale restrictions</w:t>
            </w:r>
          </w:p>
        </w:tc>
        <w:tc>
          <w:tcPr>
            <w:tcW w:w="240" w:type="dxa"/>
            <w:vAlign w:val="bottom"/>
            <w:tcBorders>
              <w:bottom w:val="single" w:sz="8" w:color="auto"/>
            </w:tcBorders>
            <w:vMerge w:val="continue"/>
            <w:shd w:val="clear" w:color="auto" w:fill="CDFFCC"/>
          </w:tcPr>
          <w:p>
            <w:pPr>
              <w:spacing w:after="0"/>
              <w:rPr>
                <w:sz w:val="20"/>
                <w:szCs w:val="20"/>
                <w:color w:val="auto"/>
              </w:rPr>
            </w:pPr>
          </w:p>
        </w:tc>
        <w:tc>
          <w:tcPr>
            <w:tcW w:w="1180" w:type="dxa"/>
            <w:vAlign w:val="bottom"/>
            <w:tcBorders>
              <w:bottom w:val="single" w:sz="8" w:color="auto"/>
            </w:tcBorders>
            <w:vMerge w:val="continue"/>
            <w:shd w:val="clear" w:color="auto" w:fill="CDFFCC"/>
          </w:tcPr>
          <w:p>
            <w:pPr>
              <w:spacing w:after="0"/>
              <w:rPr>
                <w:sz w:val="20"/>
                <w:szCs w:val="20"/>
                <w:color w:val="auto"/>
              </w:rPr>
            </w:pPr>
          </w:p>
        </w:tc>
        <w:tc>
          <w:tcPr>
            <w:tcW w:w="120" w:type="dxa"/>
            <w:vAlign w:val="bottom"/>
            <w:tcBorders>
              <w:bottom w:val="single" w:sz="8" w:color="CDFFCC"/>
            </w:tcBorders>
            <w:shd w:val="clear" w:color="auto" w:fill="CDFFCC"/>
          </w:tcPr>
          <w:p>
            <w:pPr>
              <w:spacing w:after="0"/>
              <w:rPr>
                <w:sz w:val="20"/>
                <w:szCs w:val="20"/>
                <w:color w:val="auto"/>
              </w:rPr>
            </w:pPr>
          </w:p>
        </w:tc>
        <w:tc>
          <w:tcPr>
            <w:tcW w:w="1340" w:type="dxa"/>
            <w:vAlign w:val="bottom"/>
            <w:tcBorders>
              <w:bottom w:val="single" w:sz="8" w:color="CDFFCC"/>
            </w:tcBorders>
            <w:shd w:val="clear" w:color="auto" w:fill="CDFFCC"/>
          </w:tcPr>
          <w:p>
            <w:pPr>
              <w:spacing w:after="0"/>
              <w:rPr>
                <w:sz w:val="20"/>
                <w:szCs w:val="20"/>
                <w:color w:val="auto"/>
              </w:rPr>
            </w:pPr>
          </w:p>
        </w:tc>
        <w:tc>
          <w:tcPr>
            <w:tcW w:w="100" w:type="dxa"/>
            <w:vAlign w:val="bottom"/>
            <w:tcBorders>
              <w:bottom w:val="single" w:sz="8" w:color="CDFFCC"/>
            </w:tcBorders>
            <w:shd w:val="clear" w:color="auto" w:fill="CDFFCC"/>
          </w:tcPr>
          <w:p>
            <w:pPr>
              <w:spacing w:after="0"/>
              <w:rPr>
                <w:sz w:val="20"/>
                <w:szCs w:val="20"/>
                <w:color w:val="auto"/>
              </w:rPr>
            </w:pPr>
          </w:p>
        </w:tc>
        <w:tc>
          <w:tcPr>
            <w:tcW w:w="2540" w:type="dxa"/>
            <w:vAlign w:val="bottom"/>
            <w:tcBorders>
              <w:bottom w:val="single" w:sz="8" w:color="CDFFCC"/>
            </w:tcBorders>
            <w:shd w:val="clear" w:color="auto" w:fill="CDFFCC"/>
          </w:tcPr>
          <w:p>
            <w:pPr>
              <w:spacing w:after="0"/>
              <w:rPr>
                <w:sz w:val="20"/>
                <w:szCs w:val="20"/>
                <w:color w:val="auto"/>
              </w:rPr>
            </w:pPr>
          </w:p>
        </w:tc>
        <w:tc>
          <w:tcPr>
            <w:tcW w:w="80" w:type="dxa"/>
            <w:vAlign w:val="bottom"/>
            <w:tcBorders>
              <w:bottom w:val="single" w:sz="8" w:color="CDFFCC"/>
            </w:tcBorders>
            <w:shd w:val="clear" w:color="auto" w:fill="CDFFCC"/>
          </w:tcPr>
          <w:p>
            <w:pPr>
              <w:spacing w:after="0"/>
              <w:rPr>
                <w:sz w:val="20"/>
                <w:szCs w:val="20"/>
                <w:color w:val="auto"/>
              </w:rPr>
            </w:pPr>
          </w:p>
        </w:tc>
        <w:tc>
          <w:tcPr>
            <w:tcW w:w="2180" w:type="dxa"/>
            <w:vAlign w:val="bottom"/>
            <w:tcBorders>
              <w:bottom w:val="single" w:sz="8" w:color="CDFFCC"/>
            </w:tcBorders>
            <w:shd w:val="clear" w:color="auto" w:fill="CD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6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bottom w:val="single" w:sz="8" w:color="auto"/>
            </w:tcBorders>
          </w:tcPr>
          <w:p>
            <w:pPr>
              <w:spacing w:after="0" w:line="20" w:lineRule="exact"/>
              <w:rPr>
                <w:sz w:val="1"/>
                <w:szCs w:val="1"/>
                <w:color w:val="auto"/>
              </w:rPr>
            </w:pPr>
          </w:p>
        </w:tc>
        <w:tc>
          <w:tcPr>
            <w:tcW w:w="11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34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540" w:type="dxa"/>
            <w:vAlign w:val="bottom"/>
            <w:tcBorders>
              <w:top w:val="single" w:sz="8" w:color="CDFFCC"/>
            </w:tcBorders>
          </w:tcPr>
          <w:p>
            <w:pPr>
              <w:spacing w:after="0" w:line="20" w:lineRule="exact"/>
              <w:rPr>
                <w:sz w:val="1"/>
                <w:szCs w:val="1"/>
                <w:color w:val="auto"/>
              </w:rPr>
            </w:pPr>
          </w:p>
        </w:tc>
        <w:tc>
          <w:tcPr>
            <w:tcW w:w="80" w:type="dxa"/>
            <w:vAlign w:val="bottom"/>
            <w:tcBorders>
              <w:top w:val="single" w:sz="8" w:color="CDFFCC"/>
            </w:tcBorders>
          </w:tcPr>
          <w:p>
            <w:pPr>
              <w:spacing w:after="0" w:line="20" w:lineRule="exact"/>
              <w:rPr>
                <w:sz w:val="1"/>
                <w:szCs w:val="1"/>
                <w:color w:val="auto"/>
              </w:rPr>
            </w:pPr>
          </w:p>
        </w:tc>
        <w:tc>
          <w:tcPr>
            <w:tcW w:w="2180" w:type="dxa"/>
            <w:vAlign w:val="bottom"/>
            <w:tcBorders>
              <w:top w:val="single" w:sz="8" w:color="CD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26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right="9220" w:firstLine="7"/>
        <w:spacing w:after="0" w:line="356" w:lineRule="auto"/>
        <w:tabs>
          <w:tab w:leader="none" w:pos="179"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Investments (continued) </w:t>
      </w:r>
      <w:r>
        <w:rPr>
          <w:rFonts w:ascii="Times New Roman" w:cs="Times New Roman" w:eastAsia="Times New Roman" w:hAnsi="Times New Roman"/>
          <w:sz w:val="17"/>
          <w:szCs w:val="17"/>
          <w:i w:val="1"/>
          <w:iCs w:val="1"/>
          <w:color w:val="auto"/>
        </w:rPr>
        <w:t>Equity Method Investments</w:t>
      </w: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The equity method investments currently include real estate investments accounted for under the equity method and other investments measured at fair value. The table below shows the total value of the Company's equity method investments as of June 30, 2025 including those classified as other investments under the fair value option: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r>
      <w:tr>
        <w:trPr>
          <w:trHeight w:val="25"/>
        </w:trPr>
        <w:tc>
          <w:tcPr>
            <w:tcW w:w="8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28"/>
        </w:trPr>
        <w:tc>
          <w:tcPr>
            <w:tcW w:w="8460" w:type="dxa"/>
            <w:vAlign w:val="bottom"/>
            <w:tcBorders>
              <w:top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Real estate investments at equity method</w:t>
            </w: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33,173</w:t>
            </w:r>
          </w:p>
        </w:tc>
        <w:tc>
          <w:tcPr>
            <w:tcW w:w="1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spacing w:after="0"/>
              <w:rPr>
                <w:sz w:val="19"/>
                <w:szCs w:val="19"/>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21"/>
        </w:trPr>
        <w:tc>
          <w:tcPr>
            <w:tcW w:w="84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 method investments accounted for under the Equity Method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33,173</w:t>
            </w:r>
          </w:p>
        </w:tc>
        <w:tc>
          <w:tcPr>
            <w:tcW w:w="1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21"/>
        </w:trPr>
        <w:tc>
          <w:tcPr>
            <w:tcW w:w="84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Real estate investments at fair value option elected</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43.3 %</w:t>
            </w:r>
          </w:p>
        </w:tc>
      </w:tr>
      <w:tr>
        <w:trPr>
          <w:trHeight w:val="228"/>
        </w:trPr>
        <w:tc>
          <w:tcPr>
            <w:tcW w:w="84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equity method investments at fair value option elected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1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21"/>
        </w:trPr>
        <w:tc>
          <w:tcPr>
            <w:tcW w:w="84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 method investments with fair value option (included in Other Investments)</w:t>
            </w:r>
          </w:p>
        </w:tc>
        <w:tc>
          <w:tcPr>
            <w:tcW w:w="18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73,019</w:t>
            </w:r>
          </w:p>
        </w:tc>
        <w:tc>
          <w:tcPr>
            <w:tcW w:w="12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21"/>
        </w:trPr>
        <w:tc>
          <w:tcPr>
            <w:tcW w:w="8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 method investments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firstLine="241"/>
        <w:spacing w:after="0" w:line="220" w:lineRule="auto"/>
        <w:rPr>
          <w:sz w:val="20"/>
          <w:szCs w:val="20"/>
          <w:color w:val="auto"/>
        </w:rPr>
      </w:pPr>
      <w:r>
        <w:rPr>
          <w:rFonts w:ascii="Times New Roman" w:cs="Times New Roman" w:eastAsia="Times New Roman" w:hAnsi="Times New Roman"/>
          <w:sz w:val="18"/>
          <w:szCs w:val="18"/>
          <w:color w:val="auto"/>
        </w:rPr>
        <w:t xml:space="preserve">The equity method investments above include limited partnerships which are variable interests issued by variable interest entities ("VIEs"). The Company is not the primary beneficiary of these VIEs as it does not have the power to direct the activities that are most significant to the economic performance of these VIEs. </w:t>
      </w:r>
      <w:r>
        <w:rPr>
          <w:rFonts w:ascii="Arial" w:cs="Arial" w:eastAsia="Arial" w:hAnsi="Arial"/>
          <w:sz w:val="19"/>
          <w:szCs w:val="19"/>
          <w:color w:val="44546A"/>
        </w:rPr>
        <w:t>T</w:t>
      </w:r>
      <w:r>
        <w:rPr>
          <w:rFonts w:ascii="Times New Roman" w:cs="Times New Roman" w:eastAsia="Times New Roman" w:hAnsi="Times New Roman"/>
          <w:sz w:val="18"/>
          <w:szCs w:val="18"/>
          <w:color w:val="auto"/>
        </w:rPr>
        <w:t>he Company is deemed to have limited influence over the operating and financial policies of the investee and accordingly,</w:t>
      </w:r>
    </w:p>
    <w:p>
      <w:pPr>
        <w:spacing w:after="0" w:line="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 xml:space="preserve">these investments are reported under the equity method of accounting. In applying the equity method of accounting, the investments are initially recorded at cost and are subsequently adjusted based on the Company’s proportionate share of the investee's net income or loss. Generally, the maximum exposure to loss on these interests is limited to the amount of commitment made by the Company as more fully described in </w:t>
      </w:r>
      <w:r>
        <w:rPr>
          <w:rFonts w:ascii="Times New Roman" w:cs="Times New Roman" w:eastAsia="Times New Roman" w:hAnsi="Times New Roman"/>
          <w:sz w:val="17"/>
          <w:szCs w:val="17"/>
          <w:i w:val="1"/>
          <w:iCs w:val="1"/>
          <w:color w:val="auto"/>
        </w:rPr>
        <w:t>"Note 11 - Commitments, Contingencies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 these condensed consolidated financial statements.</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ASC 825-10: Financial Instruments </w:t>
      </w:r>
      <w:r>
        <w:rPr>
          <w:rFonts w:ascii="Times New Roman" w:cs="Times New Roman" w:eastAsia="Times New Roman" w:hAnsi="Times New Roman"/>
          <w:sz w:val="18"/>
          <w:szCs w:val="18"/>
          <w:color w:val="auto"/>
        </w:rPr>
        <w:t>provides a measurement basis election for most financial instruments using a choice of either historical cost or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including equity method investments, allowing reporting entities to mitigate potential mismatches that arise under the current mixed measurement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attribute model. As a result of the Combination on May 27, 2025, the assets and liabilities of Maiden were recorded at their fair values measured as of the acquisition date. The Company has elected the fair value option for certain of its equity method investments, and these investments are reported at their fair values as of June 30, 2025.</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table below shows the carrying/fair values and beneficial ownership percentage of the Company's equity method investments, including those measured using the fair value option and reported in other investments, as of June 30, 2025, the summarized financial data of each equity method investment for the six months ended June 30, 2025 and the Company's realized and unrealized gains (losses) on these investments for the three and six months 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and Six</w:t>
            </w: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gridSpan w:val="3"/>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780" w:type="dxa"/>
            <w:vAlign w:val="bottom"/>
            <w:gridSpan w:val="4"/>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2025</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99"/>
              <w:spacing w:after="0" w:line="145"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94"/>
        </w:trPr>
        <w:tc>
          <w:tcPr>
            <w:tcW w:w="3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278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136"/>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Investee net income</w:t>
            </w:r>
          </w:p>
        </w:tc>
        <w:tc>
          <w:tcPr>
            <w:tcW w:w="160" w:type="dxa"/>
            <w:vAlign w:val="bottom"/>
          </w:tcPr>
          <w:p>
            <w:pPr>
              <w:spacing w:after="0"/>
              <w:rPr>
                <w:sz w:val="11"/>
                <w:szCs w:val="11"/>
                <w:color w:val="auto"/>
              </w:rPr>
            </w:pPr>
          </w:p>
        </w:tc>
        <w:tc>
          <w:tcPr>
            <w:tcW w:w="1240" w:type="dxa"/>
            <w:vAlign w:val="bottom"/>
          </w:tcPr>
          <w:p>
            <w:pPr>
              <w:jc w:val="center"/>
              <w:ind w:right="79"/>
              <w:spacing w:after="0" w:line="137" w:lineRule="exact"/>
              <w:rPr>
                <w:sz w:val="20"/>
                <w:szCs w:val="20"/>
                <w:color w:val="auto"/>
              </w:rPr>
            </w:pPr>
            <w:r>
              <w:rPr>
                <w:rFonts w:ascii="Times New Roman" w:cs="Times New Roman" w:eastAsia="Times New Roman" w:hAnsi="Times New Roman"/>
                <w:sz w:val="14"/>
                <w:szCs w:val="14"/>
                <w:b w:val="1"/>
                <w:bCs w:val="1"/>
                <w:color w:val="auto"/>
              </w:rPr>
              <w:t>Realized and</w:t>
            </w: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1760" w:type="dxa"/>
            <w:vAlign w:val="bottom"/>
            <w:gridSpan w:val="3"/>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Investee Revenue</w:t>
            </w:r>
            <w:r>
              <w:rPr>
                <w:rFonts w:ascii="Times New Roman" w:cs="Times New Roman" w:eastAsia="Times New Roman" w:hAnsi="Times New Roman"/>
                <w:sz w:val="18"/>
                <w:szCs w:val="18"/>
                <w:b w:val="1"/>
                <w:bCs w:val="1"/>
                <w:color w:val="auto"/>
                <w:vertAlign w:val="superscript"/>
              </w:rPr>
              <w:t>(1)</w:t>
            </w:r>
          </w:p>
        </w:tc>
        <w:tc>
          <w:tcPr>
            <w:tcW w:w="1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79"/>
              <w:spacing w:after="0" w:line="145"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center"/>
              <w:ind w:right="400"/>
              <w:spacing w:after="0" w:line="201" w:lineRule="exact"/>
              <w:rPr>
                <w:sz w:val="20"/>
                <w:szCs w:val="20"/>
                <w:color w:val="auto"/>
              </w:rPr>
            </w:pPr>
            <w:r>
              <w:rPr>
                <w:rFonts w:ascii="Times New Roman" w:cs="Times New Roman" w:eastAsia="Times New Roman" w:hAnsi="Times New Roman"/>
                <w:sz w:val="14"/>
                <w:szCs w:val="14"/>
                <w:b w:val="1"/>
                <w:bCs w:val="1"/>
                <w:color w:val="auto"/>
                <w:w w:val="93"/>
              </w:rPr>
              <w:t>(loss)</w:t>
            </w:r>
            <w:r>
              <w:rPr>
                <w:rFonts w:ascii="Times New Roman" w:cs="Times New Roman" w:eastAsia="Times New Roman" w:hAnsi="Times New Roman"/>
                <w:sz w:val="18"/>
                <w:szCs w:val="18"/>
                <w:b w:val="1"/>
                <w:bCs w:val="1"/>
                <w:color w:val="auto"/>
                <w:w w:val="93"/>
                <w:vertAlign w:val="superscript"/>
              </w:rPr>
              <w:t>(1)</w:t>
            </w:r>
          </w:p>
        </w:tc>
        <w:tc>
          <w:tcPr>
            <w:tcW w:w="160" w:type="dxa"/>
            <w:vAlign w:val="bottom"/>
          </w:tcPr>
          <w:p>
            <w:pPr>
              <w:spacing w:after="0"/>
              <w:rPr>
                <w:sz w:val="17"/>
                <w:szCs w:val="17"/>
                <w:color w:val="auto"/>
              </w:rPr>
            </w:pPr>
          </w:p>
        </w:tc>
        <w:tc>
          <w:tcPr>
            <w:tcW w:w="1240" w:type="dxa"/>
            <w:vAlign w:val="bottom"/>
          </w:tcPr>
          <w:p>
            <w:pPr>
              <w:jc w:val="center"/>
              <w:ind w:right="99"/>
              <w:spacing w:after="0" w:line="201" w:lineRule="exact"/>
              <w:rPr>
                <w:sz w:val="20"/>
                <w:szCs w:val="20"/>
                <w:color w:val="auto"/>
              </w:rPr>
            </w:pPr>
            <w:r>
              <w:rPr>
                <w:rFonts w:ascii="Times New Roman" w:cs="Times New Roman" w:eastAsia="Times New Roman" w:hAnsi="Times New Roman"/>
                <w:sz w:val="14"/>
                <w:szCs w:val="14"/>
                <w:b w:val="1"/>
                <w:bCs w:val="1"/>
                <w:color w:val="auto"/>
                <w:w w:val="95"/>
              </w:rPr>
              <w:t>(losses)</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1"/>
        </w:trPr>
        <w:tc>
          <w:tcPr>
            <w:tcW w:w="3680" w:type="dxa"/>
            <w:vAlign w:val="bottom"/>
            <w:tcBorders>
              <w:top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Silverstone Venture 1</w:t>
            </w: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00" w:type="dxa"/>
            <w:vAlign w:val="bottom"/>
            <w:tcBorders>
              <w:top w:val="single" w:sz="8" w:color="CCFFCC"/>
            </w:tcBorders>
            <w:shd w:val="clear" w:color="auto" w:fill="CCFFCC"/>
          </w:tcPr>
          <w:p>
            <w:pPr>
              <w:spacing w:after="0"/>
              <w:rPr>
                <w:sz w:val="19"/>
                <w:szCs w:val="19"/>
                <w:color w:val="auto"/>
              </w:rPr>
            </w:pPr>
          </w:p>
        </w:tc>
        <w:tc>
          <w:tcPr>
            <w:tcW w:w="15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tcBorders>
              <w:top w:val="single" w:sz="8" w:color="CCFFCC"/>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Borders>
              <w:top w:val="single" w:sz="8" w:color="CCFFCC"/>
            </w:tcBorders>
            <w:shd w:val="clear" w:color="auto" w:fill="CCFFCC"/>
          </w:tcPr>
          <w:p>
            <w:pPr>
              <w:spacing w:after="0"/>
              <w:rPr>
                <w:sz w:val="19"/>
                <w:szCs w:val="19"/>
                <w:color w:val="auto"/>
              </w:rPr>
            </w:pPr>
          </w:p>
        </w:tc>
        <w:tc>
          <w:tcPr>
            <w:tcW w:w="280" w:type="dxa"/>
            <w:vAlign w:val="bottom"/>
            <w:tcBorders>
              <w:top w:val="single" w:sz="8" w:color="auto"/>
            </w:tcBorders>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top w:val="single" w:sz="8" w:color="CCFFCC"/>
            </w:tcBorders>
            <w:shd w:val="clear" w:color="auto" w:fill="CCFFCC"/>
          </w:tcPr>
          <w:p>
            <w:pPr>
              <w:spacing w:after="0"/>
              <w:rPr>
                <w:sz w:val="19"/>
                <w:szCs w:val="19"/>
                <w:color w:val="auto"/>
              </w:rPr>
            </w:pPr>
          </w:p>
        </w:tc>
        <w:tc>
          <w:tcPr>
            <w:tcW w:w="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Silverstone Venture 2</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8"/>
        </w:trPr>
        <w:tc>
          <w:tcPr>
            <w:tcW w:w="36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Silverstone Venture 3</w:t>
            </w:r>
          </w:p>
        </w:tc>
        <w:tc>
          <w:tcPr>
            <w:tcW w:w="16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19,196</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8"/>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Extell Hudson Waterfront Holdings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680" w:type="dxa"/>
            <w:vAlign w:val="bottom"/>
            <w:gridSpan w:val="2"/>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Seiden LP &amp; Seiden MGMT LP</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33,173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99.9 %</w:t>
            </w: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FFCC"/>
          </w:tcPr>
          <w:p>
            <w:pPr>
              <w:spacing w:after="0"/>
              <w:rPr>
                <w:sz w:val="19"/>
                <w:szCs w:val="19"/>
                <w:color w:val="auto"/>
              </w:rPr>
            </w:pPr>
          </w:p>
        </w:tc>
        <w:tc>
          <w:tcPr>
            <w:tcW w:w="16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 method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80" w:right="20" w:hanging="151"/>
        <w:spacing w:after="0" w:line="238" w:lineRule="auto"/>
        <w:tabs>
          <w:tab w:leader="none" w:pos="5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included summarized financial data of its equity method investees for the three months ended March 31, 2025 as this period represents the most recent audited financial statements available at the time of filing the Company's Form 10-Q for the three and six months ended June 30, 2025.</w:t>
      </w:r>
    </w:p>
    <w:p>
      <w:pPr>
        <w:spacing w:after="0" w:line="15" w:lineRule="exact"/>
        <w:rPr>
          <w:rFonts w:ascii="Times New Roman" w:cs="Times New Roman" w:eastAsia="Times New Roman" w:hAnsi="Times New Roman"/>
          <w:sz w:val="14"/>
          <w:szCs w:val="14"/>
          <w:color w:val="auto"/>
        </w:rPr>
      </w:pPr>
    </w:p>
    <w:p>
      <w:pPr>
        <w:ind w:left="480" w:hanging="151"/>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adjustments have been recorded under realized and unrealized gains (losses) for those equity method investments reported at fair value.</w:t>
      </w:r>
    </w:p>
    <w:p>
      <w:pPr>
        <w:spacing w:after="0" w:line="40" w:lineRule="exact"/>
        <w:rPr>
          <w:rFonts w:ascii="Times New Roman" w:cs="Times New Roman" w:eastAsia="Times New Roman" w:hAnsi="Times New Roman"/>
          <w:sz w:val="14"/>
          <w:szCs w:val="14"/>
          <w:color w:val="auto"/>
        </w:rPr>
      </w:pPr>
    </w:p>
    <w:p>
      <w:pPr>
        <w:ind w:left="480" w:hanging="151"/>
        <w:spacing w:after="0"/>
        <w:tabs>
          <w:tab w:leader="none" w:pos="4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Seiden LP and Seiden MGMT LP are measured using equity method accounting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left="340" w:hanging="172"/>
        <w:spacing w:after="0"/>
        <w:tabs>
          <w:tab w:leader="none" w:pos="34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74" w:lineRule="exact"/>
        <w:rPr>
          <w:rFonts w:ascii="Times New Roman" w:cs="Times New Roman" w:eastAsia="Times New Roman" w:hAnsi="Times New Roman"/>
          <w:sz w:val="18"/>
          <w:szCs w:val="18"/>
          <w:b w:val="1"/>
          <w:bCs w:val="1"/>
          <w:color w:val="auto"/>
        </w:rPr>
      </w:pPr>
    </w:p>
    <w:p>
      <w:pPr>
        <w:ind w:left="240" w:hanging="233"/>
        <w:spacing w:after="0"/>
        <w:tabs>
          <w:tab w:leader="none" w:pos="24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Investment Income</w:t>
      </w:r>
    </w:p>
    <w:p>
      <w:pPr>
        <w:spacing w:after="0" w:line="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investment income was derived from the following sources for the three and six months ended June 30, 2025 and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5"/>
        </w:trPr>
        <w:tc>
          <w:tcPr>
            <w:tcW w:w="5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8"/>
        </w:trPr>
        <w:tc>
          <w:tcPr>
            <w:tcW w:w="5200" w:type="dxa"/>
            <w:vAlign w:val="bottom"/>
            <w:tcBorders>
              <w:bottom w:val="single" w:sz="8" w:color="CCFFCC"/>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11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Fixed maturities</w:t>
            </w:r>
          </w:p>
        </w:tc>
        <w:tc>
          <w:tcPr>
            <w:tcW w:w="900" w:type="dxa"/>
            <w:vAlign w:val="bottom"/>
            <w:shd w:val="clear" w:color="auto" w:fill="CCFFCC"/>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FFCC"/>
          </w:tcPr>
          <w:p>
            <w:pPr>
              <w:spacing w:after="0"/>
              <w:rPr>
                <w:sz w:val="19"/>
                <w:szCs w:val="19"/>
                <w:color w:val="auto"/>
              </w:rPr>
            </w:pPr>
          </w:p>
        </w:tc>
        <w:tc>
          <w:tcPr>
            <w:tcW w:w="1160" w:type="dxa"/>
            <w:vAlign w:val="bottom"/>
            <w:shd w:val="clear" w:color="auto" w:fill="CCFFC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on funds withheld</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Interest income from net loan receivable from AmTrust</w:t>
            </w:r>
          </w:p>
        </w:tc>
        <w:tc>
          <w:tcPr>
            <w:tcW w:w="900" w:type="dxa"/>
            <w:vAlign w:val="bottom"/>
            <w:shd w:val="clear" w:color="auto" w:fill="CCFFCC"/>
          </w:tcPr>
          <w:p>
            <w:pPr>
              <w:spacing w:after="0"/>
              <w:rPr>
                <w:sz w:val="19"/>
                <w:szCs w:val="19"/>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40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investments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Borders>
              <w:bottom w:val="single" w:sz="8" w:color="auto"/>
            </w:tcBorders>
            <w:shd w:val="clear" w:color="auto" w:fill="CCFFCC"/>
          </w:tcPr>
          <w:p>
            <w:pPr>
              <w:spacing w:after="0"/>
              <w:rPr>
                <w:sz w:val="19"/>
                <w:szCs w:val="19"/>
                <w:color w:val="auto"/>
              </w:rPr>
            </w:pPr>
          </w:p>
        </w:tc>
        <w:tc>
          <w:tcPr>
            <w:tcW w:w="5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FFCC"/>
          </w:tcPr>
          <w:p>
            <w:pPr>
              <w:spacing w:after="0"/>
              <w:rPr>
                <w:sz w:val="19"/>
                <w:szCs w:val="19"/>
                <w:color w:val="auto"/>
              </w:rPr>
            </w:pPr>
          </w:p>
        </w:tc>
        <w:tc>
          <w:tcPr>
            <w:tcW w:w="26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1"/>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Investment expenses</w:t>
            </w:r>
          </w:p>
        </w:tc>
        <w:tc>
          <w:tcPr>
            <w:tcW w:w="900" w:type="dxa"/>
            <w:vAlign w:val="bottom"/>
            <w:shd w:val="clear" w:color="auto" w:fill="CCFFCC"/>
          </w:tcPr>
          <w:p>
            <w:pPr>
              <w:spacing w:after="0"/>
              <w:rPr>
                <w:sz w:val="19"/>
                <w:szCs w:val="19"/>
                <w:color w:val="auto"/>
              </w:rPr>
            </w:pP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40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90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5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Net Realized and Unrealized Investment Gains (Losses)</w:t>
      </w:r>
    </w:p>
    <w:p>
      <w:pPr>
        <w:spacing w:after="0" w:line="92" w:lineRule="exact"/>
        <w:rPr>
          <w:sz w:val="20"/>
          <w:szCs w:val="20"/>
          <w:color w:val="auto"/>
        </w:rPr>
      </w:pPr>
    </w:p>
    <w:p>
      <w:pPr>
        <w:jc w:val="both"/>
        <w:ind w:firstLine="282"/>
        <w:spacing w:after="0" w:line="224" w:lineRule="auto"/>
        <w:rPr>
          <w:sz w:val="20"/>
          <w:szCs w:val="20"/>
          <w:color w:val="auto"/>
        </w:rPr>
      </w:pPr>
      <w:r>
        <w:rPr>
          <w:rFonts w:ascii="Times New Roman" w:cs="Times New Roman" w:eastAsia="Times New Roman" w:hAnsi="Times New Roman"/>
          <w:sz w:val="18"/>
          <w:szCs w:val="18"/>
          <w:color w:val="auto"/>
        </w:rPr>
        <w:t>Realized gains or losses on the sale of investments are determined on the basis of the first in first out cost method. The following tables show the net realized and unrealized investment gains (losses) included in the Condensed Consolidated Statements of Income for the three and six months ended June 30, 2025:</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2025</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gains</w:t>
            </w:r>
          </w:p>
        </w:tc>
        <w:tc>
          <w:tcPr>
            <w:tcW w:w="24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Gross losses</w:t>
            </w:r>
          </w:p>
        </w:tc>
        <w:tc>
          <w:tcPr>
            <w:tcW w:w="36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5"/>
        </w:trPr>
        <w:tc>
          <w:tcPr>
            <w:tcW w:w="66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1"/>
        </w:trPr>
        <w:tc>
          <w:tcPr>
            <w:tcW w:w="662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8"/>
        </w:trPr>
        <w:tc>
          <w:tcPr>
            <w:tcW w:w="6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8"/>
        </w:trPr>
        <w:tc>
          <w:tcPr>
            <w:tcW w:w="672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Other investments</w:t>
            </w:r>
          </w:p>
        </w:tc>
        <w:tc>
          <w:tcPr>
            <w:tcW w:w="24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1"/>
        </w:trPr>
        <w:tc>
          <w:tcPr>
            <w:tcW w:w="6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realized and unrealized investment gains (losses)</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Realized and unrealized gains and losses from equity securities detailed above include both sales and distributions of equity securities and unrealized gains and losses coming from fair value changes. Net unrealized gains recognized for equity securities still held at the reporting date for the three and six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2025, respectively, included: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7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gains recognized for equity securities</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8"/>
        </w:trPr>
        <w:tc>
          <w:tcPr>
            <w:tcW w:w="980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gains recognized for equity securities divested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980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Net unrealized gains recognized for equity securities still held at the reporting date</w:t>
            </w:r>
          </w:p>
        </w:tc>
        <w:tc>
          <w:tcPr>
            <w:tcW w:w="34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97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Proceeds from sales of fixed maturity investments were $7,312 for the three and six months ended June 30, 2025. Net unrealized gains included in accumulated other comprehensive income ("AOCI") were as follows at June 30, 2025:</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5"/>
        </w:trPr>
        <w:tc>
          <w:tcPr>
            <w:tcW w:w="97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7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unrealized gains on fixed maturity investments</w:t>
            </w:r>
          </w:p>
        </w:tc>
        <w:tc>
          <w:tcPr>
            <w:tcW w:w="20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8"/>
        </w:trPr>
        <w:tc>
          <w:tcPr>
            <w:tcW w:w="974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Net unrealized losses on held for sale AFS investments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1"/>
        </w:trPr>
        <w:tc>
          <w:tcPr>
            <w:tcW w:w="97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Total net unrealized losses</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8"/>
        </w:trPr>
        <w:tc>
          <w:tcPr>
            <w:tcW w:w="974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Deferred income tax</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974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unrealized gains, net of deferred income tax</w:t>
            </w:r>
          </w:p>
        </w:tc>
        <w:tc>
          <w:tcPr>
            <w:tcW w:w="200" w:type="dxa"/>
            <w:vAlign w:val="bottom"/>
            <w:tcBorders>
              <w:bottom w:val="single" w:sz="8" w:color="auto"/>
            </w:tcBorders>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9740" w:type="dxa"/>
            <w:vAlign w:val="bottom"/>
            <w:tcBorders>
              <w:top w:val="single" w:sz="8" w:color="CCFFCC"/>
              <w:bottom w:val="single" w:sz="8" w:color="CCFFCC"/>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Change, net of deferred income tax</w:t>
            </w: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740" w:type="dxa"/>
            <w:vAlign w:val="bottom"/>
            <w:vMerge w:val="continue"/>
          </w:tcPr>
          <w:p>
            <w:pPr>
              <w:spacing w:after="0"/>
              <w:rPr>
                <w:sz w:val="17"/>
                <w:szCs w:val="17"/>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Restricted Cash and Cash Equivalents and Investments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required to provide collateral for its reinsurance liabilities under various reinsurance agreements and utilizes trust accounts to</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collateralize business with reinsurance counterparties. The assets in trust as collateral are primarily cash and highly rated fixed maturities. The fair values of the Company's restricted assets at June 30, 2025 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5"/>
        </w:trPr>
        <w:tc>
          <w:tcPr>
            <w:tcW w:w="96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6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Restricted cash – third party agreements</w:t>
            </w:r>
          </w:p>
        </w:tc>
        <w:tc>
          <w:tcPr>
            <w:tcW w:w="26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228"/>
        </w:trPr>
        <w:tc>
          <w:tcPr>
            <w:tcW w:w="960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8"/>
                <w:szCs w:val="18"/>
                <w:color w:val="auto"/>
              </w:rPr>
              <w:t>Restricted cash – related party agreements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0" w:type="dxa"/>
            <w:vAlign w:val="bottom"/>
          </w:tcPr>
          <w:p>
            <w:pPr>
              <w:spacing w:after="0"/>
              <w:rPr>
                <w:sz w:val="1"/>
                <w:szCs w:val="1"/>
                <w:color w:val="auto"/>
              </w:rPr>
            </w:pPr>
          </w:p>
        </w:tc>
      </w:tr>
      <w:tr>
        <w:trPr>
          <w:trHeight w:val="221"/>
        </w:trPr>
        <w:tc>
          <w:tcPr>
            <w:tcW w:w="96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Total restricted cash</w:t>
            </w:r>
          </w:p>
        </w:tc>
        <w:tc>
          <w:tcPr>
            <w:tcW w:w="26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0" w:type="dxa"/>
            <w:vAlign w:val="bottom"/>
          </w:tcPr>
          <w:p>
            <w:pPr>
              <w:spacing w:after="0"/>
              <w:rPr>
                <w:sz w:val="1"/>
                <w:szCs w:val="1"/>
                <w:color w:val="auto"/>
              </w:rPr>
            </w:pPr>
          </w:p>
        </w:tc>
      </w:tr>
      <w:tr>
        <w:trPr>
          <w:trHeight w:val="221"/>
        </w:trPr>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investments – in trust for third party agreements at fair value (amortized cost: 2025 – $53,766)</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54,019</w:t>
            </w:r>
          </w:p>
        </w:tc>
        <w:tc>
          <w:tcPr>
            <w:tcW w:w="0" w:type="dxa"/>
            <w:vAlign w:val="bottom"/>
          </w:tcPr>
          <w:p>
            <w:pPr>
              <w:spacing w:after="0"/>
              <w:rPr>
                <w:sz w:val="1"/>
                <w:szCs w:val="1"/>
                <w:color w:val="auto"/>
              </w:rPr>
            </w:pPr>
          </w:p>
        </w:tc>
      </w:tr>
      <w:tr>
        <w:trPr>
          <w:trHeight w:val="228"/>
        </w:trPr>
        <w:tc>
          <w:tcPr>
            <w:tcW w:w="9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Restricted investments – in trust for related party agreements at fair value (amortized cost: 2025 – $143,741)</w:t>
            </w:r>
          </w:p>
        </w:tc>
        <w:tc>
          <w:tcPr>
            <w:tcW w:w="26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143,793</w:t>
            </w:r>
          </w:p>
        </w:tc>
        <w:tc>
          <w:tcPr>
            <w:tcW w:w="0" w:type="dxa"/>
            <w:vAlign w:val="bottom"/>
          </w:tcPr>
          <w:p>
            <w:pPr>
              <w:spacing w:after="0"/>
              <w:rPr>
                <w:sz w:val="1"/>
                <w:szCs w:val="1"/>
                <w:color w:val="auto"/>
              </w:rPr>
            </w:pPr>
          </w:p>
        </w:tc>
      </w:tr>
      <w:tr>
        <w:trPr>
          <w:trHeight w:val="228"/>
        </w:trPr>
        <w:tc>
          <w:tcPr>
            <w:tcW w:w="960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Restricted investments – liability for investments purchased for related party agreements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21"/>
        </w:trPr>
        <w:tc>
          <w:tcPr>
            <w:tcW w:w="9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Total restricted investments</w:t>
            </w:r>
          </w:p>
        </w:tc>
        <w:tc>
          <w:tcPr>
            <w:tcW w:w="260" w:type="dxa"/>
            <w:vAlign w:val="bottom"/>
            <w:tcBorders>
              <w:bottom w:val="single" w:sz="8" w:color="auto"/>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196,732</w:t>
            </w:r>
          </w:p>
        </w:tc>
        <w:tc>
          <w:tcPr>
            <w:tcW w:w="0" w:type="dxa"/>
            <w:vAlign w:val="bottom"/>
          </w:tcPr>
          <w:p>
            <w:pPr>
              <w:spacing w:after="0"/>
              <w:rPr>
                <w:sz w:val="1"/>
                <w:szCs w:val="1"/>
                <w:color w:val="auto"/>
              </w:rPr>
            </w:pPr>
          </w:p>
        </w:tc>
      </w:tr>
      <w:tr>
        <w:trPr>
          <w:trHeight w:val="221"/>
        </w:trPr>
        <w:tc>
          <w:tcPr>
            <w:tcW w:w="9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restricted cash and investments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211,449</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2"/>
        </w:trPr>
        <w:tc>
          <w:tcPr>
            <w:tcW w:w="9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0" w:hanging="173"/>
        <w:spacing w:after="0"/>
        <w:tabs>
          <w:tab w:leader="none" w:pos="1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8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Fair Values of Financial Instruments</w:t>
      </w:r>
    </w:p>
    <w:p>
      <w:pPr>
        <w:spacing w:after="0" w:line="77"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7"/>
          <w:szCs w:val="17"/>
          <w:i w:val="1"/>
          <w:iCs w:val="1"/>
          <w:color w:val="auto"/>
        </w:rPr>
        <w:t xml:space="preserve">Fair Value Measurements </w:t>
      </w:r>
      <w:r>
        <w:rPr>
          <w:rFonts w:ascii="Times New Roman" w:cs="Times New Roman" w:eastAsia="Times New Roman" w:hAnsi="Times New Roman"/>
          <w:sz w:val="17"/>
          <w:szCs w:val="17"/>
          <w:color w:val="auto"/>
        </w:rPr>
        <w:t>— Accounting Standards Codification Topic 820,</w:t>
      </w:r>
      <w:r>
        <w:rPr>
          <w:rFonts w:ascii="Times New Roman" w:cs="Times New Roman" w:eastAsia="Times New Roman" w:hAnsi="Times New Roman"/>
          <w:sz w:val="17"/>
          <w:szCs w:val="17"/>
          <w:i w:val="1"/>
          <w:iCs w:val="1"/>
          <w:color w:val="auto"/>
        </w:rPr>
        <w:t xml:space="preserve"> "Fair Value Measurements and Disclosures" </w:t>
      </w:r>
      <w:r>
        <w:rPr>
          <w:rFonts w:ascii="Times New Roman" w:cs="Times New Roman" w:eastAsia="Times New Roman" w:hAnsi="Times New Roman"/>
          <w:sz w:val="17"/>
          <w:szCs w:val="17"/>
          <w:color w:val="auto"/>
        </w:rPr>
        <w:t>("ASC 820") defines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the price that would be received upon the sale of an asset or paid to transfer a liability in an orderly transaction between open market participants at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measurement date. Additionally, ASC 820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w:t>
      </w:r>
    </w:p>
    <w:p>
      <w:pPr>
        <w:spacing w:after="0" w:line="60" w:lineRule="exact"/>
        <w:rPr>
          <w:sz w:val="20"/>
          <w:szCs w:val="20"/>
          <w:color w:val="auto"/>
        </w:rPr>
      </w:pPr>
    </w:p>
    <w:p>
      <w:pPr>
        <w:jc w:val="both"/>
        <w:ind w:left="660" w:hanging="411"/>
        <w:spacing w:after="0" w:line="22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Valuations based on unadjusted quoted market prices for identical assets or liabilities that we have the ability to access. Because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valuations are based on quoted prices that are readily and regularly available in an active market, valuation of these products does not entail a significant degree of judgment. Examples of assets and liabilities utilizing Level 1 inputs include: U.S. Treasury bonds; and publicly traded equity securities;</w:t>
      </w:r>
    </w:p>
    <w:p>
      <w:pPr>
        <w:spacing w:after="0" w:line="48" w:lineRule="exact"/>
        <w:rPr>
          <w:rFonts w:ascii="Times New Roman" w:cs="Times New Roman" w:eastAsia="Times New Roman" w:hAnsi="Times New Roman"/>
          <w:sz w:val="18"/>
          <w:szCs w:val="18"/>
          <w:color w:val="auto"/>
        </w:rPr>
      </w:pPr>
    </w:p>
    <w:p>
      <w:pPr>
        <w:jc w:val="both"/>
        <w:ind w:left="660" w:hanging="411"/>
        <w:spacing w:after="0" w:line="219"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Valuations based on quoted prices for similar assets or liabilities in active markets, quoted prices for identical assets or liabilities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inactive markets, or valuations based on models where the significant inputs are observable (e.g. interest rates, yield curves, prepayment speeds, default rates, loss severity, etc.) or can be corroborated by observable market data. Examples of assets and liabilities utilizing Level 2 inputs include: U.S. government-sponsored agency securities; non-U.S. government and supranational obligations; commercial mortgage-backed securities ("CMBS"); collateralized loan obligations ("CLO"); corporate and municipal bonds; and</w:t>
      </w:r>
    </w:p>
    <w:p>
      <w:pPr>
        <w:spacing w:after="0" w:line="61" w:lineRule="exact"/>
        <w:rPr>
          <w:rFonts w:ascii="Times New Roman" w:cs="Times New Roman" w:eastAsia="Times New Roman" w:hAnsi="Times New Roman"/>
          <w:sz w:val="18"/>
          <w:szCs w:val="18"/>
          <w:color w:val="auto"/>
        </w:rPr>
      </w:pPr>
    </w:p>
    <w:p>
      <w:pPr>
        <w:jc w:val="both"/>
        <w:ind w:left="660" w:hanging="411"/>
        <w:spacing w:after="0" w:line="22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Valuations based on models where significant inputs are not observable. The unobservable inputs reflect our own assumptions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market participants would use developed on the basis of the best information available in the particular circumstances. Examples of assets and liabilities utilizing Level 3 inputs include: an investment in preference shares of a start-up insurance producer.</w:t>
      </w:r>
    </w:p>
    <w:p>
      <w:pPr>
        <w:spacing w:after="0" w:line="63"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The availability of observable inputs can vary and is affected by a wide variety of factors, including, for example, the type of financial instrument, whether the financial instrument is new and not yet established in the marketplace, and other characteristics particular to the transaction. To the extent that valuation is based on models or inputs that are less observable or unobservable in the market, the determination of fair value requires significantly more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judgment. Accordingly, the degree of judgment exercised by management in determining fair value is greatest for instruments categorized in the Level 3 hierarchy.</w:t>
      </w:r>
    </w:p>
    <w:p>
      <w:pPr>
        <w:spacing w:after="0" w:line="4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The Company uses prices and inputs that are current as at the measurement date. In periods of market dislocation, the observability of prices and inputs may be reduced for many instruments. This condition could cause an instrument to be reclassified between hierarchy levels.</w:t>
      </w:r>
    </w:p>
    <w:p>
      <w:pPr>
        <w:spacing w:after="0" w:line="41"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the Company uses the quoted market prices as fair value and includes these in the Level 1 hierarchy. The Company receives the quoted market prices from a third party nationally recognized provider ("the Pricing Service"). When quoted</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market prices are unavailable, the Company utilizes the Pricing Service to determine an estimate of fair value. The fair value estimates are included in the Level 2 hierarchy. The Company will challenge any prices for its investments which are considered not to be representative of fair value.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If quoted market prices and an estimate from the Pricing Service are unavailable, the Company produces an estimate of fair value based on dealer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quotations for recent activity in positions with the same or similar characteristics to that being valued. The Company determines whether the fair value estimate is in the Level 2 or Level 3 hierarchy depending on the level of observable inputs available when estimating the fair value. The Company bases its estimates of fair values for assets on the bid price as it represents what a third party market participant would be willing to pay in an orderly transaction.</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ASC 825, </w:t>
      </w:r>
      <w:r>
        <w:rPr>
          <w:rFonts w:ascii="Times New Roman" w:cs="Times New Roman" w:eastAsia="Times New Roman" w:hAnsi="Times New Roman"/>
          <w:sz w:val="18"/>
          <w:szCs w:val="18"/>
          <w:i w:val="1"/>
          <w:iCs w:val="1"/>
          <w:color w:val="auto"/>
        </w:rPr>
        <w:t>"Disclosure About Fair Value of Financial Instruments"</w:t>
      </w:r>
      <w:r>
        <w:rPr>
          <w:rFonts w:ascii="Times New Roman" w:cs="Times New Roman" w:eastAsia="Times New Roman" w:hAnsi="Times New Roman"/>
          <w:sz w:val="18"/>
          <w:szCs w:val="18"/>
          <w:color w:val="auto"/>
        </w:rPr>
        <w:t>, requires all entities to disclose the fair value of their financial instruments for assets</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and liabilities recognized and not recognized in the balance sheet, for which it is practicable to estimate fair value. The following describes the valuation techniques used by the Company to determine the fair value of financial instruments that are measured at fair value on a recurring basis held at June 30, 2025.</w:t>
      </w:r>
    </w:p>
    <w:p>
      <w:pPr>
        <w:spacing w:after="0" w:line="60"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U.S. government and U.S. agency bonds: </w:t>
      </w:r>
      <w:r>
        <w:rPr>
          <w:rFonts w:ascii="Times New Roman" w:cs="Times New Roman" w:eastAsia="Times New Roman" w:hAnsi="Times New Roman"/>
          <w:sz w:val="17"/>
          <w:szCs w:val="17"/>
          <w:color w:val="auto"/>
        </w:rPr>
        <w:t>Bonds issued by the U.S. Treasury, the Federal Home Loan Bank, the Federal Home Loan Mortgage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 Government National Mortgage Association, Federal National Mortgage Association and the Federal Farm Credit Banks Funding Corporation. The fair values of U.S. treasury bonds are based on quoted market prices in active markets, and are included in the Level 1 fair value hierarchy. We believe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market for U.S. treasury bonds is an actively traded market given the high level of daily trading volume. The fair values of U.S. agency bonds are determined using the spread above the risk-free yield curve. As the yields for the risk-free yield curve and the spreads for these securities are observable market inputs, the fair values of U.S. agency bonds are included in the Level 2 fair value hierarchy.</w:t>
      </w:r>
    </w:p>
    <w:p>
      <w:pPr>
        <w:spacing w:after="0" w:line="6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Non-U.S. government bonds: </w:t>
      </w:r>
      <w:r>
        <w:rPr>
          <w:rFonts w:ascii="Times New Roman" w:cs="Times New Roman" w:eastAsia="Times New Roman" w:hAnsi="Times New Roman"/>
          <w:sz w:val="18"/>
          <w:szCs w:val="18"/>
          <w:color w:val="auto"/>
        </w:rPr>
        <w:t>These securities are generally priced by independent pricing services. The Pricing Service may use current market trades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securities with similar quality, maturity and coupon. If no such trades are available, the Pricing Service typically uses analytical models which may incorporate spreads, interest rate data and market/sector news. As the significant inputs used to price non-U.S. government bonds are observable market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inputs, the fair values of non-U.S. government bonds are included in the Level 2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 (continued)</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Collateralized loan obligations </w:t>
      </w:r>
      <w:r>
        <w:rPr>
          <w:rFonts w:ascii="Times New Roman" w:cs="Times New Roman" w:eastAsia="Times New Roman" w:hAnsi="Times New Roman"/>
          <w:sz w:val="18"/>
          <w:szCs w:val="18"/>
          <w:color w:val="auto"/>
        </w:rPr>
        <w:t>("CLO"): These asset backed securities are originated by a variety of financial institutions that on acquisition are rated</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CLO are observable market inputs, the fair values are included in the Level 2 fair value hierarchy.</w:t>
      </w:r>
    </w:p>
    <w:p>
      <w:pPr>
        <w:spacing w:after="0" w:line="6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Commercial mortgage-backed securities </w:t>
      </w:r>
      <w:r>
        <w:rPr>
          <w:rFonts w:ascii="Times New Roman" w:cs="Times New Roman" w:eastAsia="Times New Roman" w:hAnsi="Times New Roman"/>
          <w:sz w:val="18"/>
          <w:szCs w:val="18"/>
          <w:color w:val="auto"/>
        </w:rPr>
        <w:t>("CMBS"): These asset backed securities are originated by a variety of financial institutions that on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rated BBB-/Baa3 or higher. These securities are priced by independent pricing services and brokers. The pricing provider applies dealer quotes and other available trade information, prepayment speeds, yield curves and credit spreads to the valuation. As the significant inputs used to price the CMBS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observable market inputs, the fair values are included in the Level 2 fair value hierarchy.</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Corporate and municipal bonds: </w:t>
      </w:r>
      <w:r>
        <w:rPr>
          <w:rFonts w:ascii="Times New Roman" w:cs="Times New Roman" w:eastAsia="Times New Roman" w:hAnsi="Times New Roman"/>
          <w:sz w:val="18"/>
          <w:szCs w:val="18"/>
          <w:color w:val="auto"/>
        </w:rPr>
        <w:t>Bonds issued by corporations, U.S. state and municipality entities or agencies that on acquisition are rated BBB-/Baa3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higher. These securities are generally priced by independent pricing services. The credit spreads are sourced from broker/dealers, trade prices and new</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issue market. Where pricing is unavailable from pricing services, custodian pricing or non-binding quotes are obtained from broker-dealers to estimate fair values. As significant inputs used to price corporate and municipal bonds are observable market inputs, fair values are included in the Level 2 fair value hierarchy.</w:t>
      </w:r>
    </w:p>
    <w:p>
      <w:pPr>
        <w:spacing w:after="0" w:line="6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Equity securities: </w:t>
      </w:r>
      <w:r>
        <w:rPr>
          <w:rFonts w:ascii="Times New Roman" w:cs="Times New Roman" w:eastAsia="Times New Roman" w:hAnsi="Times New Roman"/>
          <w:sz w:val="18"/>
          <w:szCs w:val="18"/>
          <w:color w:val="auto"/>
        </w:rPr>
        <w:t>Equity securities can include both publicly traded and privately held common and preferred stocks. The fair value of publicly traded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and preferred stocks is primarily priced by pricing services, reflecting the closing price quoted for the final trading day of the period. These investments are carried at fair value using observable market pricing data and is included in the Level 1 fair value hierarchy. Any unrealized gains or losses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on the investment is recorded in net income in the reporting period in which it occurs. The privately held common and preferred stocks are valued using significant inputs that are unobservable where there is little or no market activity. Unadjusted third party pricing sources or management's assumptions and internal valuation models may be used to determine the fair values, therefore, these investments are classified as Level 3 in the fair value hierarchy. For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investments without a readily determinable fair value, the measurement alternative can be elected to report the qualifying investment at cost, less impairment if any, plus or minus observable price changes in orderly transactions for an identical or similar investment of the same issuer.</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Includes unquoted investments comprised of the following types of investments:</w:t>
      </w:r>
    </w:p>
    <w:p>
      <w:pPr>
        <w:spacing w:after="0" w:line="90" w:lineRule="exact"/>
        <w:rPr>
          <w:sz w:val="20"/>
          <w:szCs w:val="20"/>
          <w:color w:val="auto"/>
        </w:rPr>
      </w:pPr>
    </w:p>
    <w:p>
      <w:pPr>
        <w:jc w:val="both"/>
        <w:ind w:left="660" w:hanging="170"/>
        <w:spacing w:after="0" w:line="22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held equity investments: These are direct equity investments in common and preferred stock of privately held entities. The fair values are estimated using quarterly financial statements and/or recent private market transactions and thus are included under Level 3 of the fair value hierarchy due to unobservable market data used for valuation.</w:t>
      </w:r>
    </w:p>
    <w:p>
      <w:pPr>
        <w:spacing w:after="0" w:line="63" w:lineRule="exact"/>
        <w:rPr>
          <w:rFonts w:ascii="Times New Roman" w:cs="Times New Roman" w:eastAsia="Times New Roman" w:hAnsi="Times New Roman"/>
          <w:sz w:val="18"/>
          <w:szCs w:val="18"/>
          <w:color w:val="auto"/>
        </w:rPr>
      </w:pPr>
    </w:p>
    <w:p>
      <w:pPr>
        <w:jc w:val="both"/>
        <w:ind w:left="660" w:hanging="170"/>
        <w:spacing w:after="0" w:line="22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credit investments: These are privately held equity investments in common stock of entities that lend money valued using the most recently available or quarterly net asset value ("NAV") statements as provided by the external fund manager or third-party administrator and therefore measured using the NAV as a practical expedient.</w:t>
      </w:r>
    </w:p>
    <w:p>
      <w:pPr>
        <w:spacing w:after="0" w:line="63" w:lineRule="exact"/>
        <w:rPr>
          <w:rFonts w:ascii="Times New Roman" w:cs="Times New Roman" w:eastAsia="Times New Roman" w:hAnsi="Times New Roman"/>
          <w:sz w:val="18"/>
          <w:szCs w:val="18"/>
          <w:color w:val="auto"/>
        </w:rPr>
      </w:pPr>
    </w:p>
    <w:p>
      <w:pPr>
        <w:jc w:val="both"/>
        <w:ind w:left="660" w:hanging="170"/>
        <w:spacing w:after="0" w:line="22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equity funds: These are comprised of private equity funds, private equity co-investments with sponsoring entities and investments in real estate limited partnerships and joint ventures. The fair value is estimated based on the most recently available NAV as advised by the external fund manager or third-party administrator. The fair values are therefore measured using the NAV as a practical expedient.</w:t>
      </w:r>
    </w:p>
    <w:p>
      <w:pPr>
        <w:spacing w:after="0" w:line="63" w:lineRule="exact"/>
        <w:rPr>
          <w:rFonts w:ascii="Times New Roman" w:cs="Times New Roman" w:eastAsia="Times New Roman" w:hAnsi="Times New Roman"/>
          <w:sz w:val="18"/>
          <w:szCs w:val="18"/>
          <w:color w:val="auto"/>
        </w:rPr>
      </w:pPr>
    </w:p>
    <w:p>
      <w:pPr>
        <w:jc w:val="both"/>
        <w:ind w:left="660" w:hanging="170"/>
        <w:spacing w:after="0" w:line="22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direct lending entities: These investments are carried at their fair market value with any changes in fair value reported in realized and unrealized gains (losses) during the period. These investments are included in Level 3 of the fair value hierarchy due to unobservable market data used for valuation.</w:t>
      </w:r>
    </w:p>
    <w:p>
      <w:pPr>
        <w:spacing w:after="0" w:line="50" w:lineRule="exact"/>
        <w:rPr>
          <w:rFonts w:ascii="Times New Roman" w:cs="Times New Roman" w:eastAsia="Times New Roman" w:hAnsi="Times New Roman"/>
          <w:sz w:val="18"/>
          <w:szCs w:val="18"/>
          <w:color w:val="auto"/>
        </w:rPr>
      </w:pPr>
    </w:p>
    <w:p>
      <w:pPr>
        <w:jc w:val="both"/>
        <w:ind w:left="660" w:hanging="170"/>
        <w:spacing w:after="0" w:line="22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 lag in the valuations of certain funds reported by the investment managers, the Company may record changes in valuation with up to a three-month lag. The Company regularly reviews and discusses fund performance with the investment managers or sponsors to corroborate the reasonableness of the reported NAV and to assess whether any events have occurred within the lag period that would affect the valuation of the investments.</w:t>
      </w:r>
    </w:p>
    <w:p>
      <w:pPr>
        <w:spacing w:after="0" w:line="61" w:lineRule="exact"/>
        <w:rPr>
          <w:rFonts w:ascii="Times New Roman" w:cs="Times New Roman" w:eastAsia="Times New Roman" w:hAnsi="Times New Roman"/>
          <w:sz w:val="18"/>
          <w:szCs w:val="18"/>
          <w:color w:val="auto"/>
        </w:rPr>
      </w:pPr>
    </w:p>
    <w:p>
      <w:pPr>
        <w:jc w:val="both"/>
        <w:ind w:left="660" w:hanging="170"/>
        <w:spacing w:after="0" w:line="22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method investments: The Company elected the fair value option for certain of its equity method investments, and these investments are reported at their fair values with any changes in fair value reported in realized and unrealized gains (losses) during the period. These are included in Level 3 of the fair value hierarchy due to unobservable market data used for valuation.</w:t>
      </w:r>
    </w:p>
    <w:p>
      <w:pPr>
        <w:spacing w:after="0" w:line="62"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The Company entered into a reinsurance contract that is accounted for as a derivative. This reinsurance contract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to an insured or cedant as a result of a change in a variable as opposed to an identifiable insurable event. The Company considers this contract to be part of its underwriting operations. This derivative is initially valued at cost which approximates fair value. In subsequent measurement</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periods, the fair value of this derivative is determined using internally developed discounted cash flow models using appropriate discount rates. The selection of an appropriate discount rate is judgmental and is the most significant unobservable input used in the valuation of this derivative. The fair value changes in underwriting-related derivative instruments is included within other insurance revenue (expense), net.</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The derivative liability on retroactive reinsurance is presented as part of accrued expenses and other liabilities. A significant increase (decrease) in this input in isolation may result in a significantly lower (higher) fair value measurement for the derivative contract. As the significant inputs used to price these derivatives are unobservable, the fair values of this contract is classified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left="180" w:hanging="173"/>
        <w:spacing w:after="0"/>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7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 Fair Value Hierarchy</w:t>
      </w:r>
    </w:p>
    <w:p>
      <w:pPr>
        <w:spacing w:after="0" w:line="92" w:lineRule="exact"/>
        <w:rPr>
          <w:sz w:val="20"/>
          <w:szCs w:val="20"/>
          <w:color w:val="auto"/>
        </w:rPr>
      </w:pPr>
    </w:p>
    <w:p>
      <w:pPr>
        <w:jc w:val="both"/>
        <w:ind w:firstLine="282"/>
        <w:spacing w:after="0" w:line="214"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ASC 820. The framework is based on the inputs used in valuation and gives the highest priority to quoted prices in active markets and requires that observable inputs be used in the valuation methodology whenever available. In determining the level of the hierarchy in which the estimate is disclosed, the highest priority is given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unadjusted quoted prices in active trading markets and the lowest priority to unobservable inputs that reflect significant market assumptions.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 June 30, 2025, the Company classified its financial instruments measured at fair value on a recurring basis in the following valuation hierarchy: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40" w:type="dxa"/>
            <w:vAlign w:val="bottom"/>
          </w:tcPr>
          <w:p>
            <w:pPr>
              <w:spacing w:after="0"/>
              <w:rPr>
                <w:sz w:val="13"/>
                <w:szCs w:val="13"/>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Based on</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54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NAV Practical</w:t>
            </w:r>
          </w:p>
        </w:tc>
        <w:tc>
          <w:tcPr>
            <w:tcW w:w="160" w:type="dxa"/>
            <w:vAlign w:val="bottom"/>
          </w:tcPr>
          <w:p>
            <w:pPr>
              <w:spacing w:after="0"/>
              <w:rPr>
                <w:sz w:val="12"/>
                <w:szCs w:val="12"/>
                <w:color w:val="auto"/>
              </w:rPr>
            </w:pPr>
          </w:p>
        </w:tc>
        <w:tc>
          <w:tcPr>
            <w:tcW w:w="12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8"/>
              </w:rPr>
              <w:t>Total Fair Value</w:t>
            </w:r>
          </w:p>
        </w:tc>
        <w:tc>
          <w:tcPr>
            <w:tcW w:w="0" w:type="dxa"/>
            <w:vAlign w:val="bottom"/>
          </w:tcPr>
          <w:p>
            <w:pPr>
              <w:spacing w:after="0"/>
              <w:rPr>
                <w:sz w:val="1"/>
                <w:szCs w:val="1"/>
                <w:color w:val="auto"/>
              </w:rPr>
            </w:pPr>
          </w:p>
        </w:tc>
      </w:tr>
      <w:tr>
        <w:trPr>
          <w:trHeight w:val="195"/>
        </w:trPr>
        <w:tc>
          <w:tcPr>
            <w:tcW w:w="3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Expedient</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600" w:type="dxa"/>
            <w:vAlign w:val="bottom"/>
            <w:tcBorders>
              <w:top w:val="single" w:sz="8" w:color="auto"/>
            </w:tcBorders>
            <w:shd w:val="clear" w:color="auto" w:fill="CDFFCC"/>
          </w:tcPr>
          <w:p>
            <w:pPr>
              <w:ind w:left="60"/>
              <w:spacing w:after="0"/>
              <w:rPr>
                <w:sz w:val="20"/>
                <w:szCs w:val="20"/>
                <w:color w:val="auto"/>
              </w:rPr>
            </w:pPr>
            <w:r>
              <w:rPr>
                <w:rFonts w:ascii="Times New Roman" w:cs="Times New Roman" w:eastAsia="Times New Roman" w:hAnsi="Times New Roman"/>
                <w:sz w:val="18"/>
                <w:szCs w:val="18"/>
                <w:b w:val="1"/>
                <w:bCs w:val="1"/>
                <w:color w:val="auto"/>
              </w:rPr>
              <w:t>Fixed maturities</w:t>
            </w:r>
          </w:p>
        </w:tc>
        <w:tc>
          <w:tcPr>
            <w:tcW w:w="100" w:type="dxa"/>
            <w:vAlign w:val="bottom"/>
            <w:tcBorders>
              <w:top w:val="single" w:sz="8" w:color="CDFFCC"/>
            </w:tcBorders>
            <w:shd w:val="clear" w:color="auto" w:fill="CDFFCC"/>
          </w:tcPr>
          <w:p>
            <w:pPr>
              <w:spacing w:after="0"/>
              <w:rPr>
                <w:sz w:val="19"/>
                <w:szCs w:val="19"/>
                <w:color w:val="auto"/>
              </w:rPr>
            </w:pPr>
          </w:p>
        </w:tc>
        <w:tc>
          <w:tcPr>
            <w:tcW w:w="120" w:type="dxa"/>
            <w:vAlign w:val="bottom"/>
            <w:tcBorders>
              <w:top w:val="single" w:sz="8" w:color="auto"/>
            </w:tcBorders>
            <w:shd w:val="clear" w:color="auto" w:fill="CDFFCC"/>
          </w:tcPr>
          <w:p>
            <w:pPr>
              <w:spacing w:after="0"/>
              <w:rPr>
                <w:sz w:val="19"/>
                <w:szCs w:val="19"/>
                <w:color w:val="auto"/>
              </w:rPr>
            </w:pPr>
          </w:p>
        </w:tc>
        <w:tc>
          <w:tcPr>
            <w:tcW w:w="1300" w:type="dxa"/>
            <w:vAlign w:val="bottom"/>
            <w:tcBorders>
              <w:top w:val="single" w:sz="8" w:color="auto"/>
            </w:tcBorders>
            <w:shd w:val="clear" w:color="auto" w:fill="CDFFCC"/>
          </w:tcPr>
          <w:p>
            <w:pPr>
              <w:spacing w:after="0"/>
              <w:rPr>
                <w:sz w:val="19"/>
                <w:szCs w:val="19"/>
                <w:color w:val="auto"/>
              </w:rPr>
            </w:pPr>
          </w:p>
        </w:tc>
        <w:tc>
          <w:tcPr>
            <w:tcW w:w="120" w:type="dxa"/>
            <w:vAlign w:val="bottom"/>
            <w:tcBorders>
              <w:top w:val="single" w:sz="8" w:color="CDFFCC"/>
            </w:tcBorders>
            <w:shd w:val="clear" w:color="auto" w:fill="CDFFCC"/>
          </w:tcPr>
          <w:p>
            <w:pPr>
              <w:spacing w:after="0"/>
              <w:rPr>
                <w:sz w:val="19"/>
                <w:szCs w:val="19"/>
                <w:color w:val="auto"/>
              </w:rPr>
            </w:pPr>
          </w:p>
        </w:tc>
        <w:tc>
          <w:tcPr>
            <w:tcW w:w="120" w:type="dxa"/>
            <w:vAlign w:val="bottom"/>
            <w:tcBorders>
              <w:top w:val="single" w:sz="8" w:color="auto"/>
            </w:tcBorders>
            <w:shd w:val="clear" w:color="auto" w:fill="CDFFCC"/>
          </w:tcPr>
          <w:p>
            <w:pPr>
              <w:spacing w:after="0"/>
              <w:rPr>
                <w:sz w:val="19"/>
                <w:szCs w:val="19"/>
                <w:color w:val="auto"/>
              </w:rPr>
            </w:pPr>
          </w:p>
        </w:tc>
        <w:tc>
          <w:tcPr>
            <w:tcW w:w="1300" w:type="dxa"/>
            <w:vAlign w:val="bottom"/>
            <w:tcBorders>
              <w:top w:val="single" w:sz="8" w:color="auto"/>
            </w:tcBorders>
            <w:shd w:val="clear" w:color="auto" w:fill="CDFFCC"/>
          </w:tcPr>
          <w:p>
            <w:pPr>
              <w:spacing w:after="0"/>
              <w:rPr>
                <w:sz w:val="19"/>
                <w:szCs w:val="19"/>
                <w:color w:val="auto"/>
              </w:rPr>
            </w:pPr>
          </w:p>
        </w:tc>
        <w:tc>
          <w:tcPr>
            <w:tcW w:w="100" w:type="dxa"/>
            <w:vAlign w:val="bottom"/>
            <w:tcBorders>
              <w:top w:val="single" w:sz="8" w:color="CDFFCC"/>
            </w:tcBorders>
            <w:shd w:val="clear" w:color="auto" w:fill="CDFFCC"/>
          </w:tcPr>
          <w:p>
            <w:pPr>
              <w:spacing w:after="0"/>
              <w:rPr>
                <w:sz w:val="19"/>
                <w:szCs w:val="19"/>
                <w:color w:val="auto"/>
              </w:rPr>
            </w:pPr>
          </w:p>
        </w:tc>
        <w:tc>
          <w:tcPr>
            <w:tcW w:w="240" w:type="dxa"/>
            <w:vAlign w:val="bottom"/>
            <w:tcBorders>
              <w:top w:val="single" w:sz="8" w:color="auto"/>
            </w:tcBorders>
            <w:shd w:val="clear" w:color="auto" w:fill="CDFFCC"/>
          </w:tcPr>
          <w:p>
            <w:pPr>
              <w:spacing w:after="0"/>
              <w:rPr>
                <w:sz w:val="19"/>
                <w:szCs w:val="19"/>
                <w:color w:val="auto"/>
              </w:rPr>
            </w:pPr>
          </w:p>
        </w:tc>
        <w:tc>
          <w:tcPr>
            <w:tcW w:w="1180" w:type="dxa"/>
            <w:vAlign w:val="bottom"/>
            <w:tcBorders>
              <w:top w:val="single" w:sz="8" w:color="auto"/>
            </w:tcBorders>
            <w:shd w:val="clear" w:color="auto" w:fill="CDFFCC"/>
          </w:tcPr>
          <w:p>
            <w:pPr>
              <w:spacing w:after="0"/>
              <w:rPr>
                <w:sz w:val="19"/>
                <w:szCs w:val="19"/>
                <w:color w:val="auto"/>
              </w:rPr>
            </w:pPr>
          </w:p>
        </w:tc>
        <w:tc>
          <w:tcPr>
            <w:tcW w:w="120" w:type="dxa"/>
            <w:vAlign w:val="bottom"/>
            <w:tcBorders>
              <w:top w:val="single" w:sz="8" w:color="CDFFCC"/>
            </w:tcBorders>
            <w:shd w:val="clear" w:color="auto" w:fill="CDFFCC"/>
          </w:tcPr>
          <w:p>
            <w:pPr>
              <w:spacing w:after="0"/>
              <w:rPr>
                <w:sz w:val="19"/>
                <w:szCs w:val="19"/>
                <w:color w:val="auto"/>
              </w:rPr>
            </w:pPr>
          </w:p>
        </w:tc>
        <w:tc>
          <w:tcPr>
            <w:tcW w:w="180" w:type="dxa"/>
            <w:vAlign w:val="bottom"/>
            <w:tcBorders>
              <w:top w:val="single" w:sz="8" w:color="auto"/>
            </w:tcBorders>
            <w:shd w:val="clear" w:color="auto" w:fill="CDFFCC"/>
          </w:tcPr>
          <w:p>
            <w:pPr>
              <w:spacing w:after="0"/>
              <w:rPr>
                <w:sz w:val="19"/>
                <w:szCs w:val="19"/>
                <w:color w:val="auto"/>
              </w:rPr>
            </w:pPr>
          </w:p>
        </w:tc>
        <w:tc>
          <w:tcPr>
            <w:tcW w:w="1240" w:type="dxa"/>
            <w:vAlign w:val="bottom"/>
            <w:tcBorders>
              <w:top w:val="single" w:sz="8" w:color="auto"/>
            </w:tcBorders>
            <w:shd w:val="clear" w:color="auto" w:fill="CDFFCC"/>
          </w:tcPr>
          <w:p>
            <w:pPr>
              <w:spacing w:after="0"/>
              <w:rPr>
                <w:sz w:val="19"/>
                <w:szCs w:val="19"/>
                <w:color w:val="auto"/>
              </w:rPr>
            </w:pPr>
          </w:p>
        </w:tc>
        <w:tc>
          <w:tcPr>
            <w:tcW w:w="100" w:type="dxa"/>
            <w:vAlign w:val="bottom"/>
            <w:tcBorders>
              <w:top w:val="single" w:sz="8" w:color="CDFFCC"/>
            </w:tcBorders>
            <w:shd w:val="clear" w:color="auto" w:fill="CDFFCC"/>
          </w:tcPr>
          <w:p>
            <w:pPr>
              <w:spacing w:after="0"/>
              <w:rPr>
                <w:sz w:val="19"/>
                <w:szCs w:val="19"/>
                <w:color w:val="auto"/>
              </w:rPr>
            </w:pPr>
          </w:p>
        </w:tc>
        <w:tc>
          <w:tcPr>
            <w:tcW w:w="160" w:type="dxa"/>
            <w:vAlign w:val="bottom"/>
            <w:tcBorders>
              <w:top w:val="single" w:sz="8" w:color="auto"/>
            </w:tcBorders>
            <w:shd w:val="clear" w:color="auto" w:fill="CDFFCC"/>
          </w:tcPr>
          <w:p>
            <w:pPr>
              <w:spacing w:after="0"/>
              <w:rPr>
                <w:sz w:val="19"/>
                <w:szCs w:val="19"/>
                <w:color w:val="auto"/>
              </w:rPr>
            </w:pPr>
          </w:p>
        </w:tc>
        <w:tc>
          <w:tcPr>
            <w:tcW w:w="1260" w:type="dxa"/>
            <w:vAlign w:val="bottom"/>
            <w:tcBorders>
              <w:top w:val="single" w:sz="8" w:color="auto"/>
            </w:tcBorders>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0" w:type="dxa"/>
            <w:vAlign w:val="bottom"/>
          </w:tcPr>
          <w:p>
            <w:pPr>
              <w:spacing w:after="0"/>
              <w:rPr>
                <w:sz w:val="1"/>
                <w:szCs w:val="1"/>
                <w:color w:val="auto"/>
              </w:rPr>
            </w:pPr>
          </w:p>
        </w:tc>
      </w:tr>
      <w:tr>
        <w:trPr>
          <w:trHeight w:val="228"/>
        </w:trPr>
        <w:tc>
          <w:tcPr>
            <w:tcW w:w="37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U.S. agency bonds – mortgage-backed</w:t>
            </w:r>
          </w:p>
        </w:tc>
        <w:tc>
          <w:tcPr>
            <w:tcW w:w="120" w:type="dxa"/>
            <w:vAlign w:val="bottom"/>
            <w:shd w:val="clear" w:color="auto" w:fill="CDFFCC"/>
          </w:tcPr>
          <w:p>
            <w:pPr>
              <w:spacing w:after="0"/>
              <w:rPr>
                <w:sz w:val="19"/>
                <w:szCs w:val="19"/>
                <w:color w:val="auto"/>
              </w:rPr>
            </w:pPr>
          </w:p>
        </w:tc>
        <w:tc>
          <w:tcPr>
            <w:tcW w:w="142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DFFCC"/>
          </w:tcPr>
          <w:p>
            <w:pPr>
              <w:spacing w:after="0"/>
              <w:rPr>
                <w:sz w:val="19"/>
                <w:szCs w:val="19"/>
                <w:color w:val="auto"/>
              </w:rPr>
            </w:pPr>
          </w:p>
        </w:tc>
        <w:tc>
          <w:tcPr>
            <w:tcW w:w="13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00" w:type="dxa"/>
            <w:vAlign w:val="bottom"/>
            <w:shd w:val="clear" w:color="auto" w:fill="CDFFCC"/>
          </w:tcPr>
          <w:p>
            <w:pPr>
              <w:spacing w:after="0"/>
              <w:rPr>
                <w:sz w:val="19"/>
                <w:szCs w:val="19"/>
                <w:color w:val="auto"/>
              </w:rPr>
            </w:pPr>
          </w:p>
        </w:tc>
        <w:tc>
          <w:tcPr>
            <w:tcW w:w="240" w:type="dxa"/>
            <w:vAlign w:val="bottom"/>
            <w:shd w:val="clear" w:color="auto" w:fill="CDFFCC"/>
          </w:tcPr>
          <w:p>
            <w:pPr>
              <w:spacing w:after="0"/>
              <w:rPr>
                <w:sz w:val="19"/>
                <w:szCs w:val="19"/>
                <w:color w:val="auto"/>
              </w:rPr>
            </w:pPr>
          </w:p>
        </w:tc>
        <w:tc>
          <w:tcPr>
            <w:tcW w:w="13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DFFCC"/>
          </w:tcPr>
          <w:p>
            <w:pPr>
              <w:spacing w:after="0"/>
              <w:rPr>
                <w:sz w:val="19"/>
                <w:szCs w:val="19"/>
                <w:color w:val="auto"/>
              </w:rPr>
            </w:pPr>
          </w:p>
        </w:tc>
        <w:tc>
          <w:tcPr>
            <w:tcW w:w="134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0" w:type="dxa"/>
            <w:vAlign w:val="bottom"/>
          </w:tcPr>
          <w:p>
            <w:pPr>
              <w:spacing w:after="0"/>
              <w:rPr>
                <w:sz w:val="1"/>
                <w:szCs w:val="1"/>
                <w:color w:val="auto"/>
              </w:rPr>
            </w:pPr>
          </w:p>
        </w:tc>
      </w:tr>
      <w:tr>
        <w:trPr>
          <w:trHeight w:val="228"/>
        </w:trPr>
        <w:tc>
          <w:tcPr>
            <w:tcW w:w="3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Non-U.S. government bonds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0" w:type="dxa"/>
            <w:vAlign w:val="bottom"/>
          </w:tcPr>
          <w:p>
            <w:pPr>
              <w:spacing w:after="0"/>
              <w:rPr>
                <w:sz w:val="1"/>
                <w:szCs w:val="1"/>
                <w:color w:val="auto"/>
              </w:rPr>
            </w:pPr>
          </w:p>
        </w:tc>
      </w:tr>
      <w:tr>
        <w:trPr>
          <w:trHeight w:val="228"/>
        </w:trPr>
        <w:tc>
          <w:tcPr>
            <w:tcW w:w="3700" w:type="dxa"/>
            <w:vAlign w:val="bottom"/>
            <w:gridSpan w:val="2"/>
            <w:shd w:val="clear" w:color="auto" w:fill="CDFFCC"/>
          </w:tcPr>
          <w:p>
            <w:pPr>
              <w:ind w:left="6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120" w:type="dxa"/>
            <w:vAlign w:val="bottom"/>
            <w:shd w:val="clear" w:color="auto" w:fill="CDFFCC"/>
          </w:tcPr>
          <w:p>
            <w:pPr>
              <w:spacing w:after="0"/>
              <w:rPr>
                <w:sz w:val="19"/>
                <w:szCs w:val="19"/>
                <w:color w:val="auto"/>
              </w:rPr>
            </w:pPr>
          </w:p>
        </w:tc>
        <w:tc>
          <w:tcPr>
            <w:tcW w:w="142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DFFCC"/>
          </w:tcPr>
          <w:p>
            <w:pPr>
              <w:spacing w:after="0"/>
              <w:rPr>
                <w:sz w:val="19"/>
                <w:szCs w:val="19"/>
                <w:color w:val="auto"/>
              </w:rPr>
            </w:pPr>
          </w:p>
        </w:tc>
        <w:tc>
          <w:tcPr>
            <w:tcW w:w="13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100" w:type="dxa"/>
            <w:vAlign w:val="bottom"/>
            <w:shd w:val="clear" w:color="auto" w:fill="CDFFCC"/>
          </w:tcPr>
          <w:p>
            <w:pPr>
              <w:spacing w:after="0"/>
              <w:rPr>
                <w:sz w:val="19"/>
                <w:szCs w:val="19"/>
                <w:color w:val="auto"/>
              </w:rPr>
            </w:pPr>
          </w:p>
        </w:tc>
        <w:tc>
          <w:tcPr>
            <w:tcW w:w="240" w:type="dxa"/>
            <w:vAlign w:val="bottom"/>
            <w:shd w:val="clear" w:color="auto" w:fill="CDFFCC"/>
          </w:tcPr>
          <w:p>
            <w:pPr>
              <w:spacing w:after="0"/>
              <w:rPr>
                <w:sz w:val="19"/>
                <w:szCs w:val="19"/>
                <w:color w:val="auto"/>
              </w:rPr>
            </w:pPr>
          </w:p>
        </w:tc>
        <w:tc>
          <w:tcPr>
            <w:tcW w:w="13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DFFCC"/>
          </w:tcPr>
          <w:p>
            <w:pPr>
              <w:spacing w:after="0"/>
              <w:rPr>
                <w:sz w:val="19"/>
                <w:szCs w:val="19"/>
                <w:color w:val="auto"/>
              </w:rPr>
            </w:pPr>
          </w:p>
        </w:tc>
        <w:tc>
          <w:tcPr>
            <w:tcW w:w="134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0" w:type="dxa"/>
            <w:vAlign w:val="bottom"/>
          </w:tcPr>
          <w:p>
            <w:pPr>
              <w:spacing w:after="0"/>
              <w:rPr>
                <w:sz w:val="1"/>
                <w:szCs w:val="1"/>
                <w:color w:val="auto"/>
              </w:rPr>
            </w:pPr>
          </w:p>
        </w:tc>
      </w:tr>
      <w:tr>
        <w:trPr>
          <w:trHeight w:val="228"/>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0" w:type="dxa"/>
            <w:vAlign w:val="bottom"/>
          </w:tcPr>
          <w:p>
            <w:pPr>
              <w:spacing w:after="0"/>
              <w:rPr>
                <w:sz w:val="1"/>
                <w:szCs w:val="1"/>
                <w:color w:val="auto"/>
              </w:rPr>
            </w:pPr>
          </w:p>
        </w:tc>
      </w:tr>
      <w:tr>
        <w:trPr>
          <w:trHeight w:val="228"/>
        </w:trPr>
        <w:tc>
          <w:tcPr>
            <w:tcW w:w="3700" w:type="dxa"/>
            <w:vAlign w:val="bottom"/>
            <w:gridSpan w:val="2"/>
            <w:shd w:val="clear" w:color="auto" w:fill="CDFFCC"/>
          </w:tcPr>
          <w:p>
            <w:pPr>
              <w:ind w:left="80"/>
              <w:spacing w:after="0"/>
              <w:rPr>
                <w:sz w:val="20"/>
                <w:szCs w:val="20"/>
                <w:color w:val="auto"/>
              </w:rPr>
            </w:pPr>
            <w:r>
              <w:rPr>
                <w:rFonts w:ascii="Times New Roman" w:cs="Times New Roman" w:eastAsia="Times New Roman" w:hAnsi="Times New Roman"/>
                <w:sz w:val="18"/>
                <w:szCs w:val="18"/>
                <w:b w:val="1"/>
                <w:bCs w:val="1"/>
                <w:color w:val="auto"/>
              </w:rPr>
              <w:t>Equity securities</w:t>
            </w:r>
          </w:p>
        </w:tc>
        <w:tc>
          <w:tcPr>
            <w:tcW w:w="120" w:type="dxa"/>
            <w:vAlign w:val="bottom"/>
            <w:shd w:val="clear" w:color="auto" w:fill="CDFFCC"/>
          </w:tcPr>
          <w:p>
            <w:pPr>
              <w:spacing w:after="0"/>
              <w:rPr>
                <w:sz w:val="19"/>
                <w:szCs w:val="19"/>
                <w:color w:val="auto"/>
              </w:rPr>
            </w:pPr>
          </w:p>
        </w:tc>
        <w:tc>
          <w:tcPr>
            <w:tcW w:w="142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DFFCC"/>
          </w:tcPr>
          <w:p>
            <w:pPr>
              <w:spacing w:after="0"/>
              <w:rPr>
                <w:sz w:val="19"/>
                <w:szCs w:val="19"/>
                <w:color w:val="auto"/>
              </w:rPr>
            </w:pPr>
          </w:p>
        </w:tc>
        <w:tc>
          <w:tcPr>
            <w:tcW w:w="14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DFFCC"/>
          </w:tcPr>
          <w:p>
            <w:pPr>
              <w:spacing w:after="0"/>
              <w:rPr>
                <w:sz w:val="19"/>
                <w:szCs w:val="19"/>
                <w:color w:val="auto"/>
              </w:rPr>
            </w:pPr>
          </w:p>
        </w:tc>
        <w:tc>
          <w:tcPr>
            <w:tcW w:w="1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2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34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0" w:type="dxa"/>
            <w:vAlign w:val="bottom"/>
          </w:tcPr>
          <w:p>
            <w:pPr>
              <w:spacing w:after="0"/>
              <w:rPr>
                <w:sz w:val="1"/>
                <w:szCs w:val="1"/>
                <w:color w:val="auto"/>
              </w:rPr>
            </w:pPr>
          </w:p>
        </w:tc>
      </w:tr>
      <w:tr>
        <w:trPr>
          <w:trHeight w:val="228"/>
        </w:trPr>
        <w:tc>
          <w:tcPr>
            <w:tcW w:w="3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162,105</w:t>
            </w:r>
          </w:p>
        </w:tc>
        <w:tc>
          <w:tcPr>
            <w:tcW w:w="0" w:type="dxa"/>
            <w:vAlign w:val="bottom"/>
          </w:tcPr>
          <w:p>
            <w:pPr>
              <w:spacing w:after="0"/>
              <w:rPr>
                <w:sz w:val="1"/>
                <w:szCs w:val="1"/>
                <w:color w:val="auto"/>
              </w:rPr>
            </w:pPr>
          </w:p>
        </w:tc>
      </w:tr>
      <w:tr>
        <w:trPr>
          <w:trHeight w:val="246"/>
        </w:trPr>
        <w:tc>
          <w:tcPr>
            <w:tcW w:w="3700" w:type="dxa"/>
            <w:vAlign w:val="bottom"/>
            <w:tcBorders>
              <w:top w:val="single" w:sz="8" w:color="CDFFCC"/>
              <w:bottom w:val="single" w:sz="8" w:color="CDFFCC"/>
            </w:tcBorders>
            <w:gridSpan w:val="2"/>
            <w:shd w:val="clear" w:color="auto" w:fill="CD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0" w:type="dxa"/>
            <w:vAlign w:val="bottom"/>
            <w:tcBorders>
              <w:top w:val="single" w:sz="8" w:color="auto"/>
              <w:bottom w:val="single" w:sz="8" w:color="auto"/>
            </w:tcBorders>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120" w:type="dxa"/>
            <w:vAlign w:val="bottom"/>
            <w:tcBorders>
              <w:top w:val="single" w:sz="8" w:color="CDFFCC"/>
              <w:bottom w:val="single" w:sz="8" w:color="CDFFCC"/>
            </w:tcBorders>
            <w:shd w:val="clear" w:color="auto" w:fill="CDFFCC"/>
          </w:tcPr>
          <w:p>
            <w:pPr>
              <w:spacing w:after="0"/>
              <w:rPr>
                <w:sz w:val="20"/>
                <w:szCs w:val="20"/>
                <w:color w:val="auto"/>
              </w:rPr>
            </w:pPr>
          </w:p>
        </w:tc>
        <w:tc>
          <w:tcPr>
            <w:tcW w:w="12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161,890</w:t>
            </w:r>
          </w:p>
        </w:tc>
        <w:tc>
          <w:tcPr>
            <w:tcW w:w="100" w:type="dxa"/>
            <w:vAlign w:val="bottom"/>
            <w:tcBorders>
              <w:top w:val="single" w:sz="8" w:color="CDFFCC"/>
              <w:bottom w:val="single" w:sz="8" w:color="CDFFCC"/>
            </w:tcBorders>
            <w:shd w:val="clear" w:color="auto" w:fill="CDFFCC"/>
          </w:tcPr>
          <w:p>
            <w:pPr>
              <w:spacing w:after="0"/>
              <w:rPr>
                <w:sz w:val="20"/>
                <w:szCs w:val="20"/>
                <w:color w:val="auto"/>
              </w:rPr>
            </w:pPr>
          </w:p>
        </w:tc>
        <w:tc>
          <w:tcPr>
            <w:tcW w:w="240" w:type="dxa"/>
            <w:vAlign w:val="bottom"/>
            <w:tcBorders>
              <w:top w:val="single" w:sz="8" w:color="auto"/>
              <w:bottom w:val="single" w:sz="8" w:color="auto"/>
            </w:tcBorders>
            <w:shd w:val="clear" w:color="auto" w:fill="CDFFC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138,919</w:t>
            </w:r>
          </w:p>
        </w:tc>
        <w:tc>
          <w:tcPr>
            <w:tcW w:w="120" w:type="dxa"/>
            <w:vAlign w:val="bottom"/>
            <w:tcBorders>
              <w:top w:val="single" w:sz="8" w:color="CDFFCC"/>
              <w:bottom w:val="single" w:sz="8" w:color="CDFFCC"/>
            </w:tcBorders>
            <w:shd w:val="clear" w:color="auto" w:fill="CDFFCC"/>
          </w:tcPr>
          <w:p>
            <w:pPr>
              <w:spacing w:after="0"/>
              <w:rPr>
                <w:sz w:val="20"/>
                <w:szCs w:val="20"/>
                <w:color w:val="auto"/>
              </w:rPr>
            </w:pPr>
          </w:p>
        </w:tc>
        <w:tc>
          <w:tcPr>
            <w:tcW w:w="18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34,377</w:t>
            </w:r>
          </w:p>
        </w:tc>
        <w:tc>
          <w:tcPr>
            <w:tcW w:w="100" w:type="dxa"/>
            <w:vAlign w:val="bottom"/>
            <w:tcBorders>
              <w:top w:val="single" w:sz="8" w:color="CDFFCC"/>
              <w:bottom w:val="single" w:sz="8" w:color="CDFFCC"/>
            </w:tcBorders>
            <w:shd w:val="clear" w:color="auto" w:fill="CDFFCC"/>
          </w:tcPr>
          <w:p>
            <w:pPr>
              <w:spacing w:after="0"/>
              <w:rPr>
                <w:sz w:val="20"/>
                <w:szCs w:val="20"/>
                <w:color w:val="auto"/>
              </w:rPr>
            </w:pPr>
          </w:p>
        </w:tc>
        <w:tc>
          <w:tcPr>
            <w:tcW w:w="16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379,097</w:t>
            </w:r>
          </w:p>
        </w:tc>
        <w:tc>
          <w:tcPr>
            <w:tcW w:w="0" w:type="dxa"/>
            <w:vAlign w:val="bottom"/>
          </w:tcPr>
          <w:p>
            <w:pPr>
              <w:spacing w:after="0"/>
              <w:rPr>
                <w:sz w:val="1"/>
                <w:szCs w:val="1"/>
                <w:color w:val="auto"/>
              </w:rPr>
            </w:pPr>
          </w:p>
        </w:tc>
      </w:tr>
      <w:tr>
        <w:trPr>
          <w:trHeight w:val="20"/>
        </w:trPr>
        <w:tc>
          <w:tcPr>
            <w:tcW w:w="3700" w:type="dxa"/>
            <w:vAlign w:val="bottom"/>
            <w:tcBorders>
              <w:top w:val="single" w:sz="8" w:color="CDFFCC"/>
              <w:bottom w:val="single" w:sz="8" w:color="CDFFCC"/>
            </w:tcBorders>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As a percentage of total assets</w:t>
            </w:r>
          </w:p>
        </w:tc>
        <w:tc>
          <w:tcPr>
            <w:tcW w:w="120" w:type="dxa"/>
            <w:vAlign w:val="bottom"/>
            <w:tcBorders>
              <w:top w:val="single" w:sz="8" w:color="CDFFCC"/>
              <w:bottom w:val="single" w:sz="8" w:color="auto"/>
            </w:tcBorders>
          </w:tcPr>
          <w:p>
            <w:pPr>
              <w:spacing w:after="0" w:line="20" w:lineRule="exact"/>
              <w:rPr>
                <w:sz w:val="1"/>
                <w:szCs w:val="1"/>
                <w:color w:val="auto"/>
              </w:rPr>
            </w:pPr>
          </w:p>
        </w:tc>
        <w:tc>
          <w:tcPr>
            <w:tcW w:w="130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bottom w:val="single" w:sz="8" w:color="auto"/>
            </w:tcBorders>
          </w:tcPr>
          <w:p>
            <w:pPr>
              <w:spacing w:after="0" w:line="20" w:lineRule="exact"/>
              <w:rPr>
                <w:sz w:val="1"/>
                <w:szCs w:val="1"/>
                <w:color w:val="auto"/>
              </w:rPr>
            </w:pPr>
          </w:p>
        </w:tc>
        <w:tc>
          <w:tcPr>
            <w:tcW w:w="13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bottom w:val="single" w:sz="8" w:color="auto"/>
            </w:tcBorders>
          </w:tcPr>
          <w:p>
            <w:pPr>
              <w:spacing w:after="0" w:line="20" w:lineRule="exact"/>
              <w:rPr>
                <w:sz w:val="1"/>
                <w:szCs w:val="1"/>
                <w:color w:val="auto"/>
              </w:rPr>
            </w:pPr>
          </w:p>
        </w:tc>
        <w:tc>
          <w:tcPr>
            <w:tcW w:w="118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24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437"/>
              <w:spacing w:after="0" w:line="201"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center"/>
              <w:ind w:right="37"/>
              <w:spacing w:after="0" w:line="201" w:lineRule="exact"/>
              <w:rPr>
                <w:sz w:val="20"/>
                <w:szCs w:val="20"/>
                <w:color w:val="auto"/>
              </w:rPr>
            </w:pPr>
            <w:r>
              <w:rPr>
                <w:rFonts w:ascii="Times New Roman" w:cs="Times New Roman" w:eastAsia="Times New Roman" w:hAnsi="Times New Roman"/>
                <w:sz w:val="18"/>
                <w:szCs w:val="18"/>
                <w:color w:val="auto"/>
                <w:w w:val="98"/>
              </w:rPr>
              <w:t>14.0%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ind w:right="156"/>
              <w:spacing w:after="0" w:line="201" w:lineRule="exact"/>
              <w:rPr>
                <w:sz w:val="20"/>
                <w:szCs w:val="20"/>
                <w:color w:val="auto"/>
              </w:rPr>
            </w:pPr>
            <w:r>
              <w:rPr>
                <w:rFonts w:ascii="Times New Roman" w:cs="Times New Roman" w:eastAsia="Times New Roman" w:hAnsi="Times New Roman"/>
                <w:sz w:val="18"/>
                <w:szCs w:val="18"/>
                <w:color w:val="auto"/>
                <w:w w:val="98"/>
              </w:rPr>
              <w:t>12.0%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16"/>
              <w:spacing w:after="0" w:line="201" w:lineRule="exact"/>
              <w:rPr>
                <w:sz w:val="20"/>
                <w:szCs w:val="20"/>
                <w:color w:val="auto"/>
              </w:rPr>
            </w:pPr>
            <w:r>
              <w:rPr>
                <w:rFonts w:ascii="Times New Roman" w:cs="Times New Roman" w:eastAsia="Times New Roman" w:hAnsi="Times New Roman"/>
                <w:sz w:val="18"/>
                <w:szCs w:val="18"/>
                <w:color w:val="auto"/>
                <w:w w:val="95"/>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center"/>
              <w:ind w:right="74"/>
              <w:spacing w:after="0" w:line="201" w:lineRule="exact"/>
              <w:rPr>
                <w:sz w:val="20"/>
                <w:szCs w:val="20"/>
                <w:color w:val="auto"/>
              </w:rPr>
            </w:pPr>
            <w:r>
              <w:rPr>
                <w:rFonts w:ascii="Times New Roman" w:cs="Times New Roman" w:eastAsia="Times New Roman" w:hAnsi="Times New Roman"/>
                <w:sz w:val="18"/>
                <w:szCs w:val="18"/>
                <w:color w:val="auto"/>
                <w:w w:val="98"/>
              </w:rPr>
              <w:t>32.8%</w:t>
            </w:r>
          </w:p>
        </w:tc>
        <w:tc>
          <w:tcPr>
            <w:tcW w:w="0" w:type="dxa"/>
            <w:vAlign w:val="bottom"/>
          </w:tcPr>
          <w:p>
            <w:pPr>
              <w:spacing w:after="0"/>
              <w:rPr>
                <w:sz w:val="1"/>
                <w:szCs w:val="1"/>
                <w:color w:val="auto"/>
              </w:rPr>
            </w:pPr>
          </w:p>
        </w:tc>
      </w:tr>
      <w:tr>
        <w:trPr>
          <w:trHeight w:val="255"/>
        </w:trPr>
        <w:tc>
          <w:tcPr>
            <w:tcW w:w="360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130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130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240" w:type="dxa"/>
            <w:vAlign w:val="bottom"/>
            <w:shd w:val="clear" w:color="auto" w:fill="CDFFCC"/>
          </w:tcPr>
          <w:p>
            <w:pPr>
              <w:spacing w:after="0"/>
              <w:rPr>
                <w:sz w:val="22"/>
                <w:szCs w:val="22"/>
                <w:color w:val="auto"/>
              </w:rPr>
            </w:pPr>
          </w:p>
        </w:tc>
        <w:tc>
          <w:tcPr>
            <w:tcW w:w="1180" w:type="dxa"/>
            <w:vAlign w:val="bottom"/>
            <w:shd w:val="clear" w:color="auto" w:fill="CDFFCC"/>
          </w:tcPr>
          <w:p>
            <w:pPr>
              <w:spacing w:after="0"/>
              <w:rPr>
                <w:sz w:val="22"/>
                <w:szCs w:val="22"/>
                <w:color w:val="auto"/>
              </w:rPr>
            </w:pPr>
          </w:p>
        </w:tc>
        <w:tc>
          <w:tcPr>
            <w:tcW w:w="120" w:type="dxa"/>
            <w:vAlign w:val="bottom"/>
            <w:shd w:val="clear" w:color="auto" w:fill="CDFFCC"/>
          </w:tcPr>
          <w:p>
            <w:pPr>
              <w:spacing w:after="0"/>
              <w:rPr>
                <w:sz w:val="22"/>
                <w:szCs w:val="22"/>
                <w:color w:val="auto"/>
              </w:rPr>
            </w:pPr>
          </w:p>
        </w:tc>
        <w:tc>
          <w:tcPr>
            <w:tcW w:w="180" w:type="dxa"/>
            <w:vAlign w:val="bottom"/>
            <w:shd w:val="clear" w:color="auto" w:fill="CDFFCC"/>
          </w:tcPr>
          <w:p>
            <w:pPr>
              <w:spacing w:after="0"/>
              <w:rPr>
                <w:sz w:val="22"/>
                <w:szCs w:val="22"/>
                <w:color w:val="auto"/>
              </w:rPr>
            </w:pPr>
          </w:p>
        </w:tc>
        <w:tc>
          <w:tcPr>
            <w:tcW w:w="1240" w:type="dxa"/>
            <w:vAlign w:val="bottom"/>
            <w:shd w:val="clear" w:color="auto" w:fill="CDFFCC"/>
          </w:tcPr>
          <w:p>
            <w:pPr>
              <w:spacing w:after="0"/>
              <w:rPr>
                <w:sz w:val="22"/>
                <w:szCs w:val="22"/>
                <w:color w:val="auto"/>
              </w:rPr>
            </w:pPr>
          </w:p>
        </w:tc>
        <w:tc>
          <w:tcPr>
            <w:tcW w:w="100" w:type="dxa"/>
            <w:vAlign w:val="bottom"/>
            <w:shd w:val="clear" w:color="auto" w:fill="CDFFCC"/>
          </w:tcPr>
          <w:p>
            <w:pPr>
              <w:spacing w:after="0"/>
              <w:rPr>
                <w:sz w:val="22"/>
                <w:szCs w:val="22"/>
                <w:color w:val="auto"/>
              </w:rPr>
            </w:pPr>
          </w:p>
        </w:tc>
        <w:tc>
          <w:tcPr>
            <w:tcW w:w="160" w:type="dxa"/>
            <w:vAlign w:val="bottom"/>
            <w:shd w:val="clear" w:color="auto" w:fill="CDFFCC"/>
          </w:tcPr>
          <w:p>
            <w:pPr>
              <w:spacing w:after="0"/>
              <w:rPr>
                <w:sz w:val="22"/>
                <w:szCs w:val="22"/>
                <w:color w:val="auto"/>
              </w:rPr>
            </w:pPr>
          </w:p>
        </w:tc>
        <w:tc>
          <w:tcPr>
            <w:tcW w:w="1260" w:type="dxa"/>
            <w:vAlign w:val="bottom"/>
            <w:shd w:val="clear" w:color="auto" w:fill="CDFFCC"/>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Underwriting-related derivative liability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FFFFFF"/>
              </w:rPr>
              <w:t>Quoted Prices in</w:t>
            </w:r>
          </w:p>
        </w:tc>
        <w:tc>
          <w:tcPr>
            <w:tcW w:w="120" w:type="dxa"/>
            <w:vAlign w:val="bottom"/>
          </w:tcPr>
          <w:p>
            <w:pPr>
              <w:spacing w:after="0"/>
              <w:rPr>
                <w:sz w:val="21"/>
                <w:szCs w:val="21"/>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FFFFFF"/>
              </w:rPr>
              <w:t>Significant Other</w:t>
            </w:r>
          </w:p>
        </w:tc>
        <w:tc>
          <w:tcPr>
            <w:tcW w:w="240" w:type="dxa"/>
            <w:vAlign w:val="bottom"/>
          </w:tcPr>
          <w:p>
            <w:pPr>
              <w:spacing w:after="0"/>
              <w:rPr>
                <w:sz w:val="21"/>
                <w:szCs w:val="2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FFFFFF"/>
              </w:rPr>
              <w:t>Significant</w:t>
            </w:r>
          </w:p>
        </w:tc>
        <w:tc>
          <w:tcPr>
            <w:tcW w:w="15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Fair Value Based on</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FFFFFF"/>
              </w:rPr>
              <w:t>Active Markets for</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540" w:type="dxa"/>
            <w:vAlign w:val="bottom"/>
            <w:gridSpan w:val="3"/>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FFFFFF"/>
              </w:rPr>
              <w:t>Identical Assets (Level</w:t>
            </w:r>
          </w:p>
        </w:tc>
        <w:tc>
          <w:tcPr>
            <w:tcW w:w="120" w:type="dxa"/>
            <w:vAlign w:val="bottom"/>
          </w:tcPr>
          <w:p>
            <w:pPr>
              <w:spacing w:after="0"/>
              <w:rPr>
                <w:sz w:val="12"/>
                <w:szCs w:val="12"/>
                <w:color w:val="auto"/>
              </w:rPr>
            </w:pPr>
          </w:p>
        </w:tc>
        <w:tc>
          <w:tcPr>
            <w:tcW w:w="140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FFFFFF"/>
              </w:rPr>
              <w:t>Observable Inputs</w:t>
            </w:r>
          </w:p>
        </w:tc>
        <w:tc>
          <w:tcPr>
            <w:tcW w:w="154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FFFFFF"/>
              </w:rPr>
              <w:t>Unobservable Inputs</w:t>
            </w: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FFFFFF"/>
              </w:rPr>
              <w:t>NAV Practical</w:t>
            </w:r>
          </w:p>
        </w:tc>
        <w:tc>
          <w:tcPr>
            <w:tcW w:w="160" w:type="dxa"/>
            <w:vAlign w:val="bottom"/>
          </w:tcPr>
          <w:p>
            <w:pPr>
              <w:spacing w:after="0"/>
              <w:rPr>
                <w:sz w:val="12"/>
                <w:szCs w:val="12"/>
                <w:color w:val="auto"/>
              </w:rPr>
            </w:pPr>
          </w:p>
        </w:tc>
        <w:tc>
          <w:tcPr>
            <w:tcW w:w="126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FFFFFF"/>
                <w:w w:val="98"/>
              </w:rPr>
              <w:t>Total Fair Value</w:t>
            </w:r>
          </w:p>
        </w:tc>
        <w:tc>
          <w:tcPr>
            <w:tcW w:w="0" w:type="dxa"/>
            <w:vAlign w:val="bottom"/>
          </w:tcPr>
          <w:p>
            <w:pPr>
              <w:spacing w:after="0"/>
              <w:rPr>
                <w:sz w:val="1"/>
                <w:szCs w:val="1"/>
                <w:color w:val="auto"/>
              </w:rPr>
            </w:pPr>
          </w:p>
        </w:tc>
      </w:tr>
      <w:tr>
        <w:trPr>
          <w:trHeight w:val="187"/>
        </w:trPr>
        <w:tc>
          <w:tcPr>
            <w:tcW w:w="3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FFFFFF"/>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FFFFFF"/>
              </w:rPr>
              <w:t>Expedient</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Company utilizes the Pricing Service to assist in determining the fair value of its investments; however, management is ultimately responsible for all fair values presented in the Company’s consolidated financial statements. This includes responsibility for monitoring the fair value process, ensuring objective and reliable valuation practices, and pricing of assets and liabilities and use of pricing sources. The Company analyzes and reviews the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prices received from the Pricing Service to ensure that the prices provided represent a reasonable estimate of fair value.</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Pricing Service was utilized to estimate fair value measurements for 100.0% of our fixed maturities at June 30, 2025. The Pricing Service utilizes market quotations for fixed maturity securities that have quoted market prices in active markets. Since fixed maturities other than U.S. treasury bonds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generally do not trade actively on a daily basis, the Pricing Service prepares estimates of fair value measurements using relevant market data, benchmark curves, sector groupings and matrix pricing and these have been classified as Level 2 within the fair value hierarchy.</w:t>
      </w:r>
    </w:p>
    <w:p>
      <w:pPr>
        <w:spacing w:after="0" w:line="4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At June 30, 2025, the Company did not adjust any pricing provided to it based on the review performed by its investment managers. There were no transfers to or from Level 3 during the three and six months ended June 30, 2025,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Level 3 Financial Instruments</w:t>
      </w:r>
    </w:p>
    <w:p>
      <w:pPr>
        <w:spacing w:after="0" w:line="79" w:lineRule="exact"/>
        <w:rPr>
          <w:sz w:val="20"/>
          <w:szCs w:val="20"/>
          <w:color w:val="auto"/>
        </w:rPr>
      </w:pPr>
    </w:p>
    <w:p>
      <w:pPr>
        <w:jc w:val="both"/>
        <w:ind w:right="20" w:firstLine="241"/>
        <w:spacing w:after="0" w:line="248" w:lineRule="auto"/>
        <w:rPr>
          <w:sz w:val="20"/>
          <w:szCs w:val="20"/>
          <w:color w:val="auto"/>
        </w:rPr>
      </w:pPr>
      <w:r>
        <w:rPr>
          <w:rFonts w:ascii="Times New Roman" w:cs="Times New Roman" w:eastAsia="Times New Roman" w:hAnsi="Times New Roman"/>
          <w:sz w:val="18"/>
          <w:szCs w:val="18"/>
          <w:color w:val="auto"/>
        </w:rPr>
        <w:t>At June 30, 2025, the Company holds Level 3 financial instruments which currently consist of alternative investments of $138,919 and an underwriting-related derivative liability of $3,984 on a reinsurance contract written by GLS which is included in accrued expenses and other liabilities.</w:t>
      </w:r>
    </w:p>
    <w:p>
      <w:pPr>
        <w:spacing w:after="0" w:line="41"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The Level 3 investments include collateralized investments in direct lending entities of $49,978 at June 30, 2025 which are carried at fair market value using significant unobservable inputs. These direct loans are illiquid and require long-term capital commitments, and so significant judgment was used in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Therefore the Company classifies its fair value as Level 3 within the fair value hierarchy.</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The fair values for equity securities of $11,191 are estimated using quarterly unaudited capital and financial statements provided by the investee or recent private market transactions, where applicable. Any changes to the financial information provided by the investee could result in a significantly higher 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lower valuation at the reporting date. Due to significant unobservable inputs in these valuations, the Company classifies the fair values as Level 3 within the fair value hierarchy.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has elected the fair value option for certain of its equity method investments at the acquisition date. The fair values for these investments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are presented in other investments and are estimated using quarterly unaudited capital and financial statements provided by the investee or recent private market transactions, where applicable. Any changes to the financial information provided by the investee could result in a significantly higher or lower valuation at the reporting 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 (continued)</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Due to significant unobservable inputs in these valuations, the Company classifies the fair values as Level 3 within the fair value hierarchy.</w:t>
      </w:r>
    </w:p>
    <w:p>
      <w:pPr>
        <w:spacing w:after="0" w:line="88"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The fair value of underwriting-related derivative instruments of $3,984 is determined using a discounted cash flow model in which the Company examines current market conditions, historical results as well as contract specific information that may impact future cash flows in order to assess the reasonableness of inputs used in the valuation model. Due to significant unobservable inputs in these valuations, the Company classifies the fair values 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within the fair value hierarchy.</w:t>
      </w:r>
    </w:p>
    <w:p>
      <w:pPr>
        <w:spacing w:after="0" w:line="55"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The following table provides a summary of quantitative information regarding the significant unobservable inputs used in determining the fair value of other investments measured at fair value on a recurring basis under the Level 3 classification at June 30, 2025:</w:t>
      </w:r>
    </w:p>
    <w:p>
      <w:pPr>
        <w:sectPr>
          <w:pgSz w:w="11900" w:h="16838" w:orient="portrait"/>
          <w:cols w:equalWidth="0" w:num="1">
            <w:col w:w="11240"/>
          </w:cols>
          <w:pgMar w:left="320" w:top="117" w:right="339" w:bottom="1440" w:gutter="0" w:footer="0" w:header="0"/>
        </w:sectPr>
      </w:pPr>
    </w:p>
    <w:p>
      <w:pPr>
        <w:spacing w:after="0" w:line="357" w:lineRule="exact"/>
        <w:rPr>
          <w:sz w:val="20"/>
          <w:szCs w:val="20"/>
          <w:color w:val="auto"/>
        </w:rPr>
      </w:pPr>
    </w:p>
    <w:p>
      <w:pPr>
        <w:ind w:left="340" w:right="460" w:hanging="321"/>
        <w:spacing w:after="0" w:line="236" w:lineRule="auto"/>
        <w:rPr>
          <w:sz w:val="20"/>
          <w:szCs w:val="20"/>
          <w:color w:val="auto"/>
        </w:rPr>
      </w:pPr>
      <w:r>
        <w:rPr>
          <w:rFonts w:ascii="Times New Roman" w:cs="Times New Roman" w:eastAsia="Times New Roman" w:hAnsi="Times New Roman"/>
          <w:sz w:val="18"/>
          <w:szCs w:val="18"/>
          <w:color w:val="auto"/>
        </w:rPr>
        <w:t>Privately held equity investments - common shares</w:t>
      </w:r>
    </w:p>
    <w:p>
      <w:pPr>
        <w:spacing w:after="0" w:line="8" w:lineRule="exact"/>
        <w:rPr>
          <w:sz w:val="20"/>
          <w:szCs w:val="20"/>
          <w:color w:val="auto"/>
        </w:rPr>
      </w:pPr>
    </w:p>
    <w:p>
      <w:pPr>
        <w:ind w:left="340" w:right="460" w:hanging="321"/>
        <w:spacing w:after="0" w:line="236" w:lineRule="auto"/>
        <w:rPr>
          <w:sz w:val="20"/>
          <w:szCs w:val="20"/>
          <w:color w:val="auto"/>
        </w:rPr>
      </w:pPr>
      <w:r>
        <w:rPr>
          <w:rFonts w:ascii="Times New Roman" w:cs="Times New Roman" w:eastAsia="Times New Roman" w:hAnsi="Times New Roman"/>
          <w:sz w:val="18"/>
          <w:szCs w:val="18"/>
          <w:color w:val="auto"/>
        </w:rPr>
        <w:t>Privately held equity investments - preferred shares</w:t>
      </w:r>
    </w:p>
    <w:p>
      <w:pPr>
        <w:spacing w:after="0" w:line="8" w:lineRule="exact"/>
        <w:rPr>
          <w:sz w:val="20"/>
          <w:szCs w:val="20"/>
          <w:color w:val="auto"/>
        </w:rPr>
      </w:pPr>
    </w:p>
    <w:p>
      <w:pPr>
        <w:ind w:left="340" w:hanging="321"/>
        <w:spacing w:after="0" w:line="236" w:lineRule="auto"/>
        <w:rPr>
          <w:sz w:val="20"/>
          <w:szCs w:val="20"/>
          <w:color w:val="auto"/>
        </w:rPr>
      </w:pPr>
      <w:r>
        <w:rPr>
          <w:rFonts w:ascii="Times New Roman" w:cs="Times New Roman" w:eastAsia="Times New Roman" w:hAnsi="Times New Roman"/>
          <w:sz w:val="18"/>
          <w:szCs w:val="18"/>
          <w:color w:val="auto"/>
        </w:rPr>
        <w:t>Other investments - Investments in direct lending entities</w:t>
      </w:r>
    </w:p>
    <w:p>
      <w:pPr>
        <w:spacing w:after="0" w:line="8" w:lineRule="exact"/>
        <w:rPr>
          <w:sz w:val="20"/>
          <w:szCs w:val="20"/>
          <w:color w:val="auto"/>
        </w:rPr>
      </w:pPr>
    </w:p>
    <w:p>
      <w:pPr>
        <w:ind w:left="340" w:right="100" w:hanging="321"/>
        <w:spacing w:after="0" w:line="236" w:lineRule="auto"/>
        <w:rPr>
          <w:sz w:val="20"/>
          <w:szCs w:val="20"/>
          <w:color w:val="auto"/>
        </w:rPr>
      </w:pPr>
      <w:r>
        <w:rPr>
          <w:rFonts w:ascii="Times New Roman" w:cs="Times New Roman" w:eastAsia="Times New Roman" w:hAnsi="Times New Roman"/>
          <w:sz w:val="18"/>
          <w:szCs w:val="18"/>
          <w:color w:val="auto"/>
        </w:rPr>
        <w:t>Equity method investments measured at fair value option</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Level 3 investments</w:t>
      </w:r>
    </w:p>
    <w:p>
      <w:pPr>
        <w:spacing w:after="0" w:line="289" w:lineRule="exact"/>
        <w:rPr>
          <w:sz w:val="20"/>
          <w:szCs w:val="20"/>
          <w:color w:val="auto"/>
        </w:rPr>
      </w:pPr>
    </w:p>
    <w:p>
      <w:pPr>
        <w:ind w:left="20" w:right="520"/>
        <w:spacing w:after="0" w:line="238" w:lineRule="auto"/>
        <w:rPr>
          <w:sz w:val="20"/>
          <w:szCs w:val="20"/>
          <w:color w:val="auto"/>
        </w:rPr>
      </w:pPr>
      <w:r>
        <w:rPr>
          <w:rFonts w:ascii="Times New Roman" w:cs="Times New Roman" w:eastAsia="Times New Roman" w:hAnsi="Times New Roman"/>
          <w:sz w:val="18"/>
          <w:szCs w:val="18"/>
          <w:b w:val="1"/>
          <w:bCs w:val="1"/>
          <w:color w:val="auto"/>
        </w:rPr>
        <w:t>Underwriting-related derivative liability</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Valuation Technique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Unobservable Inputs</w:t>
            </w:r>
          </w:p>
        </w:tc>
        <w:tc>
          <w:tcPr>
            <w:tcW w:w="16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0" w:type="dxa"/>
            <w:vAlign w:val="bottom"/>
          </w:tcPr>
          <w:p>
            <w:pPr>
              <w:spacing w:after="0"/>
              <w:rPr>
                <w:sz w:val="1"/>
                <w:szCs w:val="1"/>
                <w:color w:val="auto"/>
              </w:rPr>
            </w:pPr>
          </w:p>
        </w:tc>
      </w:tr>
      <w:tr>
        <w:trPr>
          <w:trHeight w:val="170"/>
        </w:trPr>
        <w:tc>
          <w:tcPr>
            <w:tcW w:w="2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14"/>
                <w:szCs w:val="14"/>
                <w:color w:val="auto"/>
              </w:rPr>
            </w:pPr>
          </w:p>
        </w:tc>
        <w:tc>
          <w:tcPr>
            <w:tcW w:w="19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Quarterly financial</w:t>
            </w:r>
          </w:p>
        </w:tc>
        <w:tc>
          <w:tcPr>
            <w:tcW w:w="120" w:type="dxa"/>
            <w:vAlign w:val="bottom"/>
          </w:tcPr>
          <w:p>
            <w:pPr>
              <w:spacing w:after="0"/>
              <w:rPr>
                <w:sz w:val="14"/>
                <w:szCs w:val="14"/>
                <w:color w:val="auto"/>
              </w:rPr>
            </w:pPr>
          </w:p>
        </w:tc>
        <w:tc>
          <w:tcPr>
            <w:tcW w:w="2700" w:type="dxa"/>
            <w:vAlign w:val="bottom"/>
            <w:tcBorders>
              <w:top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Price/book ratios of comparable</w:t>
            </w:r>
          </w:p>
        </w:tc>
        <w:tc>
          <w:tcPr>
            <w:tcW w:w="10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statements</w:t>
            </w:r>
          </w:p>
        </w:tc>
        <w:tc>
          <w:tcPr>
            <w:tcW w:w="2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public companies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Pr>
          <w:p>
            <w:pPr>
              <w:spacing w:after="0"/>
              <w:rPr>
                <w:sz w:val="15"/>
                <w:szCs w:val="15"/>
                <w:color w:val="auto"/>
              </w:rPr>
            </w:pPr>
          </w:p>
        </w:tc>
        <w:tc>
          <w:tcPr>
            <w:tcW w:w="202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8"/>
              </w:rPr>
              <w:t>Quarterly financial</w:t>
            </w:r>
          </w:p>
        </w:tc>
        <w:tc>
          <w:tcPr>
            <w:tcW w:w="280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Privately calculated enterprise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statements</w:t>
            </w:r>
          </w:p>
        </w:tc>
        <w:tc>
          <w:tcPr>
            <w:tcW w:w="2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valuations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100" w:type="dxa"/>
            <w:vAlign w:val="bottom"/>
          </w:tcPr>
          <w:p>
            <w:pPr>
              <w:spacing w:after="0"/>
              <w:rPr>
                <w:sz w:val="15"/>
                <w:szCs w:val="15"/>
                <w:color w:val="auto"/>
              </w:rPr>
            </w:pPr>
          </w:p>
        </w:tc>
        <w:tc>
          <w:tcPr>
            <w:tcW w:w="202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8"/>
              </w:rPr>
              <w:t>Quarterly financial</w:t>
            </w:r>
          </w:p>
        </w:tc>
        <w:tc>
          <w:tcPr>
            <w:tcW w:w="280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Privately calculated enterprise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statements</w:t>
            </w:r>
          </w:p>
        </w:tc>
        <w:tc>
          <w:tcPr>
            <w:tcW w:w="2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valuations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73,019</w:t>
            </w:r>
          </w:p>
        </w:tc>
        <w:tc>
          <w:tcPr>
            <w:tcW w:w="100" w:type="dxa"/>
            <w:vAlign w:val="bottom"/>
          </w:tcPr>
          <w:p>
            <w:pPr>
              <w:spacing w:after="0"/>
              <w:rPr>
                <w:sz w:val="15"/>
                <w:szCs w:val="15"/>
                <w:color w:val="auto"/>
              </w:rPr>
            </w:pPr>
          </w:p>
        </w:tc>
        <w:tc>
          <w:tcPr>
            <w:tcW w:w="202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8"/>
              </w:rPr>
              <w:t>Quarterly financial</w:t>
            </w:r>
          </w:p>
        </w:tc>
        <w:tc>
          <w:tcPr>
            <w:tcW w:w="280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8"/>
                <w:szCs w:val="18"/>
                <w:color w:val="auto"/>
                <w:w w:val="99"/>
              </w:rPr>
              <w:t>Privately calculated enterprise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7"/>
              </w:rPr>
              <w:t>statements</w:t>
            </w:r>
          </w:p>
        </w:tc>
        <w:tc>
          <w:tcPr>
            <w:tcW w:w="2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valuations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280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-1058545</wp:posOffset>
            </wp:positionV>
            <wp:extent cx="7133590" cy="272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272415"/>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-521970</wp:posOffset>
            </wp:positionV>
            <wp:extent cx="7133590" cy="264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264160"/>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5080</wp:posOffset>
            </wp:positionV>
            <wp:extent cx="7133590" cy="170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70180"/>
                    </a:xfrm>
                    <a:prstGeom prst="rect">
                      <a:avLst/>
                    </a:prstGeom>
                    <a:noFill/>
                  </pic:spPr>
                </pic:pic>
              </a:graphicData>
            </a:graphic>
          </wp:anchor>
        </w:drawing>
      </w:r>
    </w:p>
    <w:p>
      <w:pPr>
        <w:ind w:left="760" w:hanging="751"/>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203835</wp:posOffset>
            </wp:positionV>
            <wp:extent cx="7133590" cy="264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264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9023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920" w:val="left"/>
          <w:tab w:leader="none" w:pos="1640" w:val="left"/>
          <w:tab w:leader="none" w:pos="3700" w:val="left"/>
          <w:tab w:leader="none" w:pos="6400" w:val="left"/>
          <w:tab w:leader="none" w:pos="7080" w:val="left"/>
          <w:tab w:leader="none" w:pos="7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3,984</w:t>
      </w:r>
      <w:r>
        <w:rPr>
          <w:sz w:val="20"/>
          <w:szCs w:val="20"/>
          <w:color w:val="auto"/>
        </w:rPr>
        <w:tab/>
      </w:r>
      <w:r>
        <w:rPr>
          <w:rFonts w:ascii="Times New Roman" w:cs="Times New Roman" w:eastAsia="Times New Roman" w:hAnsi="Times New Roman"/>
          <w:sz w:val="18"/>
          <w:szCs w:val="18"/>
          <w:color w:val="auto"/>
        </w:rPr>
        <w:t>Discounted cash flows</w:t>
      </w:r>
      <w:r>
        <w:rPr>
          <w:sz w:val="20"/>
          <w:szCs w:val="20"/>
          <w:color w:val="auto"/>
        </w:rPr>
        <w:tab/>
      </w:r>
      <w:r>
        <w:rPr>
          <w:rFonts w:ascii="Times New Roman" w:cs="Times New Roman" w:eastAsia="Times New Roman" w:hAnsi="Times New Roman"/>
          <w:sz w:val="18"/>
          <w:szCs w:val="18"/>
          <w:color w:val="auto"/>
        </w:rPr>
        <w:t>Duration matched discount rates</w:t>
      </w:r>
      <w:r>
        <w:rPr>
          <w:sz w:val="20"/>
          <w:szCs w:val="20"/>
          <w:color w:val="auto"/>
        </w:rPr>
        <w:tab/>
      </w: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9023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2980" w:space="240"/>
            <w:col w:w="8020"/>
          </w:cols>
          <w:pgMar w:left="320" w:top="117" w:right="3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The following table shows the reconciliation of beginning and ending balances for investments measured at fair value on a recurring basis using Level 3</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inputs for the three and six months ended June 30, 2025, respectively. The Company includes any related interest and dividend income in net investment income and are excluded from the reconciliation in the table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4"/>
        </w:trPr>
        <w:tc>
          <w:tcPr>
            <w:tcW w:w="9700" w:type="dxa"/>
            <w:vAlign w:val="bottom"/>
            <w:tcBorders>
              <w:top w:val="single" w:sz="8" w:color="auto"/>
            </w:tcBorders>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Balance - beginning of period</w:t>
            </w:r>
          </w:p>
        </w:tc>
        <w:tc>
          <w:tcPr>
            <w:tcW w:w="100" w:type="dxa"/>
            <w:vAlign w:val="bottom"/>
            <w:tcBorders>
              <w:top w:val="single" w:sz="8" w:color="CDFFCC"/>
            </w:tcBorders>
            <w:shd w:val="clear" w:color="auto" w:fill="CDFFCC"/>
          </w:tcPr>
          <w:p>
            <w:pPr>
              <w:spacing w:after="0"/>
              <w:rPr>
                <w:sz w:val="19"/>
                <w:szCs w:val="19"/>
                <w:color w:val="auto"/>
              </w:rPr>
            </w:pPr>
          </w:p>
        </w:tc>
        <w:tc>
          <w:tcPr>
            <w:tcW w:w="340" w:type="dxa"/>
            <w:vAlign w:val="bottom"/>
            <w:tcBorders>
              <w:top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Acquired Level 3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137,188</w:t>
            </w:r>
          </w:p>
        </w:tc>
      </w:tr>
      <w:tr>
        <w:trPr>
          <w:trHeight w:val="228"/>
        </w:trPr>
        <w:tc>
          <w:tcPr>
            <w:tcW w:w="9800" w:type="dxa"/>
            <w:vAlign w:val="bottom"/>
            <w:gridSpan w:val="2"/>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Purchases</w:t>
            </w: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28"/>
        </w:trPr>
        <w:tc>
          <w:tcPr>
            <w:tcW w:w="9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8"/>
        </w:trPr>
        <w:tc>
          <w:tcPr>
            <w:tcW w:w="9800" w:type="dxa"/>
            <w:vAlign w:val="bottom"/>
            <w:gridSpan w:val="2"/>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Net realized and unrealized gains during the period</w:t>
            </w:r>
          </w:p>
        </w:tc>
        <w:tc>
          <w:tcPr>
            <w:tcW w:w="34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1"/>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Level 3 investments - end of period</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138,919</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Financial Instruments Disclosed, But Not Carried, at Fair Value</w:t>
      </w:r>
    </w:p>
    <w:p>
      <w:pPr>
        <w:spacing w:after="0" w:line="7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The fair value of financial instruments accounting guidance also applies to financial instruments disclosed, but not carried, at fair value, except for certain financial instruments related to insurance contracts.</w:t>
      </w:r>
    </w:p>
    <w:p>
      <w:pPr>
        <w:spacing w:after="0" w:line="41"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At June 30, 2025, the carrying values of cash equivalents (including restricted amounts), accrued investment income, reinsurance balances receivable and certain other assets and liabilities approximate fair values due to their inherent short duration. As these financial instruments are not actively traded, the fair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values of these financial instruments are classified as Level 2 in the fair value hierarchy.</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At June 30, 2025, the carrying value of the net loan receivable from related party approximates fair value. The fair value of the net loan receivable is primarily determined by estimating expected future cash flows and discounting them using current interest rates for similar loans with similar credit risk.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loan receivable from related party is not actively traded, its fair value is classified as Level 3 in the fair value hierarchy.</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 (continued)</w:t>
      </w:r>
    </w:p>
    <w:p>
      <w:pPr>
        <w:spacing w:after="0" w:line="3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 xml:space="preserve">The fair values of the Company's outstanding Senior Notes (as defined in </w:t>
      </w:r>
      <w:r>
        <w:rPr>
          <w:rFonts w:ascii="Times New Roman" w:cs="Times New Roman" w:eastAsia="Times New Roman" w:hAnsi="Times New Roman"/>
          <w:sz w:val="17"/>
          <w:szCs w:val="17"/>
          <w:i w:val="1"/>
          <w:iCs w:val="1"/>
          <w:color w:val="auto"/>
        </w:rPr>
        <w:t>Note 7. Long-Term Debt</w:t>
      </w:r>
      <w:r>
        <w:rPr>
          <w:rFonts w:ascii="Times New Roman" w:cs="Times New Roman" w:eastAsia="Times New Roman" w:hAnsi="Times New Roman"/>
          <w:sz w:val="17"/>
          <w:szCs w:val="17"/>
          <w:color w:val="auto"/>
        </w:rPr>
        <w:t>) are based on indicative market pricing obtained from</w:t>
      </w:r>
    </w:p>
    <w:p>
      <w:pPr>
        <w:spacing w:after="0" w:line="1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a third-party pricing service which uses observable market inputs, and therefore the fair values of these liabilities are classified as Level 2 in the fair value hierarchy. The following table presents the respective principal amount and fair values for the Senior Notes as at June 30,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38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
        </w:trPr>
        <w:tc>
          <w:tcPr>
            <w:tcW w:w="3960" w:type="dxa"/>
            <w:vAlign w:val="bottom"/>
            <w:tcBorders>
              <w:bottom w:val="single" w:sz="8" w:color="CCFFCC"/>
            </w:tcBorders>
          </w:tcPr>
          <w:p>
            <w:pPr>
              <w:spacing w:after="0"/>
              <w:rPr>
                <w:sz w:val="2"/>
                <w:szCs w:val="2"/>
                <w:color w:val="auto"/>
              </w:rPr>
            </w:pPr>
          </w:p>
        </w:tc>
        <w:tc>
          <w:tcPr>
            <w:tcW w:w="43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Senior Notes - MHLA – 6.625%</w:t>
            </w:r>
          </w:p>
        </w:tc>
        <w:tc>
          <w:tcPr>
            <w:tcW w:w="430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CFFCC"/>
          </w:tcPr>
          <w:p>
            <w:pPr>
              <w:spacing w:after="0"/>
              <w:rPr>
                <w:sz w:val="19"/>
                <w:szCs w:val="19"/>
                <w:color w:val="auto"/>
              </w:rPr>
            </w:pPr>
          </w:p>
        </w:tc>
        <w:tc>
          <w:tcPr>
            <w:tcW w:w="380" w:type="dxa"/>
            <w:vAlign w:val="bottom"/>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65,516</w:t>
            </w:r>
          </w:p>
        </w:tc>
        <w:tc>
          <w:tcPr>
            <w:tcW w:w="0" w:type="dxa"/>
            <w:vAlign w:val="bottom"/>
          </w:tcPr>
          <w:p>
            <w:pPr>
              <w:spacing w:after="0"/>
              <w:rPr>
                <w:sz w:val="1"/>
                <w:szCs w:val="1"/>
                <w:color w:val="auto"/>
              </w:rPr>
            </w:pPr>
          </w:p>
        </w:tc>
      </w:tr>
      <w:tr>
        <w:trPr>
          <w:trHeight w:val="228"/>
        </w:trPr>
        <w:tc>
          <w:tcPr>
            <w:tcW w:w="396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Senior Notes - MHNC – 7.75%</w:t>
            </w:r>
          </w:p>
        </w:tc>
        <w:tc>
          <w:tcPr>
            <w:tcW w:w="430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152,361</w:t>
            </w:r>
          </w:p>
        </w:tc>
        <w:tc>
          <w:tcPr>
            <w:tcW w:w="100" w:type="dxa"/>
            <w:vAlign w:val="bottom"/>
            <w:tcBorders>
              <w:bottom w:val="single" w:sz="8" w:color="CCFFC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100,254</w:t>
            </w:r>
          </w:p>
        </w:tc>
        <w:tc>
          <w:tcPr>
            <w:tcW w:w="0" w:type="dxa"/>
            <w:vAlign w:val="bottom"/>
          </w:tcPr>
          <w:p>
            <w:pPr>
              <w:spacing w:after="0"/>
              <w:rPr>
                <w:sz w:val="1"/>
                <w:szCs w:val="1"/>
                <w:color w:val="auto"/>
              </w:rPr>
            </w:pPr>
          </w:p>
        </w:tc>
      </w:tr>
      <w:tr>
        <w:trPr>
          <w:trHeight w:val="246"/>
        </w:trPr>
        <w:tc>
          <w:tcPr>
            <w:tcW w:w="396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8"/>
                <w:szCs w:val="18"/>
                <w:b w:val="1"/>
                <w:bCs w:val="1"/>
                <w:color w:val="auto"/>
              </w:rPr>
              <w:t>Total Senior Notes</w:t>
            </w:r>
          </w:p>
        </w:tc>
        <w:tc>
          <w:tcPr>
            <w:tcW w:w="43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10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auto"/>
            </w:tcBorders>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165,770</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tcPr>
          <w:p>
            <w:pPr>
              <w:spacing w:after="0" w:line="20" w:lineRule="exact"/>
              <w:rPr>
                <w:sz w:val="1"/>
                <w:szCs w:val="1"/>
                <w:color w:val="auto"/>
              </w:rPr>
            </w:pPr>
          </w:p>
        </w:tc>
        <w:tc>
          <w:tcPr>
            <w:tcW w:w="4300" w:type="dxa"/>
            <w:vAlign w:val="bottom"/>
            <w:tcBorders>
              <w:top w:val="single" w:sz="8" w:color="CCFFCC"/>
              <w:bottom w:val="single" w:sz="8" w:color="CCFFCC"/>
            </w:tcBorders>
            <w:vMerge w:val="restart"/>
          </w:tcPr>
          <w:p>
            <w:pPr>
              <w:jc w:val="right"/>
              <w:ind w:right="245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3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10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9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96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right="9440" w:firstLine="7"/>
        <w:spacing w:after="0" w:line="355" w:lineRule="auto"/>
        <w:tabs>
          <w:tab w:leader="none" w:pos="179"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Shareholders' Equity </w:t>
      </w:r>
      <w:r>
        <w:rPr>
          <w:rFonts w:ascii="Times New Roman" w:cs="Times New Roman" w:eastAsia="Times New Roman" w:hAnsi="Times New Roman"/>
          <w:sz w:val="17"/>
          <w:szCs w:val="17"/>
          <w:b w:val="1"/>
          <w:bCs w:val="1"/>
          <w:i w:val="1"/>
          <w:iCs w:val="1"/>
          <w:color w:val="auto"/>
        </w:rPr>
        <w:t>a) Common Shares</w:t>
      </w:r>
    </w:p>
    <w:p>
      <w:pPr>
        <w:jc w:val="both"/>
        <w:ind w:firstLine="241"/>
        <w:spacing w:after="0" w:line="215"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 Basis of Presentation</w:t>
      </w:r>
      <w:r>
        <w:rPr>
          <w:rFonts w:ascii="Times New Roman" w:cs="Times New Roman" w:eastAsia="Times New Roman" w:hAnsi="Times New Roman"/>
          <w:sz w:val="18"/>
          <w:szCs w:val="18"/>
          <w:color w:val="auto"/>
        </w:rPr>
        <w:t>, pursuant to the terms of the Combination, at the closing of the transaction on May 27, 2025, each issued and outstanding common share of Maiden, par value $0.01 per share, was automatically canceled and converted into the right to receive one-twentieth (0.05) of a common share in Kestrel Group Ltd. The equityholders of Kestrel at the closing date received 2,749,996 common shares of the Kestrel Group.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Fractional shares for both Maiden and Kestrel were paid out in cash at the closing date.</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Company’s authorized share capital after the Combination consists of 42,500,000 common shares. The Company's common shares have a par value of $0.01 per share. Kestrel Group common shareholders are entitled to receive dividends. For the three and six months ended June 30, 2025, the Company's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Board of Directors did not declare any dividends to common shareholders. Holders of Kestrel Group common shares have no pre-emptive, redemption, conversion or sinking fund rights. Holders of Kestrel Group common shares are entitled to one vote per share on all matters submitted to a vote of holders of Kestrel Group common shares. Most matters to be approved by holders of Kestrel Group common shares require approval by a simple majority vote. Under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Kestrel Group bye-laws, the holders of at least a majority of the Kestrel Group common shares voting in person or by proxy at a meeting must approve any merger, amalgamation, business combination or similar transaction with another company.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June 30, 2025, the aggregate authorized share capital of the Company is 42,500,000 shares of which 9,979,477 common shares were issued. This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includes 7,741,943 common shares outstanding, and 2,237,534 treasury shares as discussed further below. The remaining 32,520,523 shares are undesignated at June 30, 2025. At June 30, 2025, there are 31,929 common shares that will be issued and outstanding upon vesting of restricted shares.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Common Shares issuable under Incentive Plans</w:t>
      </w:r>
    </w:p>
    <w:p>
      <w:pPr>
        <w:spacing w:after="0" w:line="79"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8"/>
          <w:szCs w:val="18"/>
          <w:color w:val="auto"/>
        </w:rPr>
        <w:t>On June 3, 2025, a Registration Statement on Form S-8 was filed by Kestrel Group for the purpose of registering 1,411,600 common shares, par value $0.01 per share, of the Company which include:</w:t>
      </w:r>
    </w:p>
    <w:p>
      <w:pPr>
        <w:spacing w:after="0" w:line="49" w:lineRule="exact"/>
        <w:rPr>
          <w:sz w:val="20"/>
          <w:szCs w:val="20"/>
          <w:color w:val="auto"/>
        </w:rPr>
      </w:pPr>
    </w:p>
    <w:p>
      <w:pPr>
        <w:jc w:val="both"/>
        <w:ind w:left="320" w:hanging="152"/>
        <w:spacing w:after="0" w:line="212" w:lineRule="auto"/>
        <w:tabs>
          <w:tab w:leader="none" w:pos="31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206,600 common shares are issuable in respect of outstanding awards under the Maiden Holdings, Ltd. 2019 Omnibus Incentive Plan (“Legacy Plan”) and any such additional shares granted under the Legacy Plan that were forfeited, cancelled, exchanged or surrendered, including in connection with the termination or expiration of an award, that then become available under the Legacy Plan in accordance with its terms. The Legacy Plan was assigned to and assumed by the Company at the effective time of the mergers. Such aggregate number of common shares issuable under the Legacy Plan reflects the conversion required by the terms of the Combination Agreement; and</w:t>
      </w:r>
    </w:p>
    <w:p>
      <w:pPr>
        <w:spacing w:after="0" w:line="37" w:lineRule="exact"/>
        <w:rPr>
          <w:rFonts w:ascii="Times New Roman" w:cs="Times New Roman" w:eastAsia="Times New Roman" w:hAnsi="Times New Roman"/>
          <w:sz w:val="18"/>
          <w:szCs w:val="18"/>
          <w:color w:val="auto"/>
        </w:rPr>
      </w:pPr>
    </w:p>
    <w:p>
      <w:pPr>
        <w:ind w:left="320" w:hanging="152"/>
        <w:spacing w:after="0"/>
        <w:tabs>
          <w:tab w:leader="none" w:pos="3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1,205,000 common shares are issuable under the Kestrel Group Ltd 2025 Equity Incentive Plan (“Kestrel Group Plan”).</w:t>
      </w:r>
    </w:p>
    <w:p>
      <w:pPr>
        <w:spacing w:after="0" w:line="83" w:lineRule="exact"/>
        <w:rPr>
          <w:rFonts w:ascii="Times New Roman" w:cs="Times New Roman" w:eastAsia="Times New Roman" w:hAnsi="Times New Roman"/>
          <w:sz w:val="18"/>
          <w:szCs w:val="18"/>
          <w:color w:val="auto"/>
        </w:rPr>
      </w:pPr>
    </w:p>
    <w:p>
      <w:pPr>
        <w:ind w:left="240" w:hanging="233"/>
        <w:spacing w:after="0"/>
        <w:tabs>
          <w:tab w:leader="none" w:pos="2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Treasury Shares</w:t>
      </w:r>
    </w:p>
    <w:p>
      <w:pPr>
        <w:spacing w:after="0" w:line="79" w:lineRule="exact"/>
        <w:rPr>
          <w:sz w:val="20"/>
          <w:szCs w:val="20"/>
          <w:color w:val="auto"/>
        </w:rPr>
      </w:pPr>
    </w:p>
    <w:p>
      <w:pPr>
        <w:ind w:firstLine="241"/>
        <w:spacing w:after="0" w:line="236" w:lineRule="auto"/>
        <w:rPr>
          <w:sz w:val="20"/>
          <w:szCs w:val="20"/>
          <w:color w:val="auto"/>
        </w:rPr>
      </w:pPr>
      <w:r>
        <w:rPr>
          <w:rFonts w:ascii="Times New Roman" w:cs="Times New Roman" w:eastAsia="Times New Roman" w:hAnsi="Times New Roman"/>
          <w:sz w:val="18"/>
          <w:szCs w:val="18"/>
          <w:color w:val="auto"/>
        </w:rPr>
        <w:t>Treasury shares include 2,237,534 common shares owned by Maiden Reinsurance which are not treated as outstanding common shares on the Condensed Consolidated Balance Sheet at June 30, 2025.</w:t>
      </w:r>
    </w:p>
    <w:p>
      <w:pPr>
        <w:spacing w:after="0" w:line="58" w:lineRule="exact"/>
        <w:rPr>
          <w:sz w:val="20"/>
          <w:szCs w:val="20"/>
          <w:color w:val="auto"/>
        </w:rPr>
      </w:pPr>
    </w:p>
    <w:p>
      <w:pPr>
        <w:ind w:left="240" w:hanging="233"/>
        <w:spacing w:after="0"/>
        <w:tabs>
          <w:tab w:leader="none" w:pos="2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AOCI</w:t>
      </w:r>
    </w:p>
    <w:p>
      <w:pPr>
        <w:spacing w:after="0" w:line="78" w:lineRule="exact"/>
        <w:rPr>
          <w:rFonts w:ascii="Times New Roman" w:cs="Times New Roman" w:eastAsia="Times New Roman" w:hAnsi="Times New Roman"/>
          <w:sz w:val="18"/>
          <w:szCs w:val="18"/>
          <w:b w:val="1"/>
          <w:bCs w:val="1"/>
          <w:i w:val="1"/>
          <w:iCs w:val="1"/>
          <w:color w:val="auto"/>
        </w:rPr>
      </w:pPr>
    </w:p>
    <w:p>
      <w:pPr>
        <w:ind w:left="2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tables set forth financial information regarding the changes in the balances of each component of AOCI:</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in net</w:t>
            </w:r>
          </w:p>
        </w:tc>
        <w:tc>
          <w:tcPr>
            <w:tcW w:w="14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ended June 30, 2025</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unrealized gains on</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460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2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CCFFCC"/>
            </w:tcBorders>
            <w:shd w:val="clear" w:color="auto" w:fill="CCFFCC"/>
          </w:tcPr>
          <w:p>
            <w:pPr>
              <w:spacing w:after="0"/>
              <w:rPr>
                <w:sz w:val="19"/>
                <w:szCs w:val="19"/>
                <w:color w:val="auto"/>
              </w:rPr>
            </w:pPr>
          </w:p>
        </w:tc>
        <w:tc>
          <w:tcPr>
            <w:tcW w:w="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FFCC"/>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460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720" w:type="dxa"/>
            <w:vAlign w:val="bottom"/>
            <w:tcBorders>
              <w:bottom w:val="single" w:sz="8" w:color="CCFFCC"/>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4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7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1280" w:type="dxa"/>
            <w:vAlign w:val="bottom"/>
            <w:tcBorders>
              <w:bottom w:val="single" w:sz="8" w:color="auto"/>
            </w:tcBorders>
            <w:shd w:val="clear" w:color="auto" w:fill="CCFFCC"/>
          </w:tcPr>
          <w:p>
            <w:pPr>
              <w:ind w:left="10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FFCC"/>
          </w:tcPr>
          <w:p>
            <w:pPr>
              <w:spacing w:after="0"/>
              <w:rPr>
                <w:sz w:val="19"/>
                <w:szCs w:val="19"/>
                <w:color w:val="auto"/>
              </w:rPr>
            </w:pP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Maiden shareholders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20" w:type="dxa"/>
            <w:vAlign w:val="bottom"/>
            <w:vMerge w:val="restart"/>
          </w:tcPr>
          <w:p>
            <w:pPr>
              <w:jc w:val="right"/>
              <w:ind w:right="67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1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60" w:type="dxa"/>
            <w:vAlign w:val="bottom"/>
            <w:tcBorders>
              <w:bottom w:val="single" w:sz="8" w:color="9A9A9A"/>
            </w:tcBorders>
          </w:tcPr>
          <w:p>
            <w:pPr>
              <w:spacing w:after="0"/>
              <w:rPr>
                <w:sz w:val="9"/>
                <w:szCs w:val="9"/>
                <w:color w:val="auto"/>
              </w:rPr>
            </w:pPr>
          </w:p>
        </w:tc>
        <w:tc>
          <w:tcPr>
            <w:tcW w:w="46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9780" w:firstLine="7"/>
        <w:spacing w:after="0" w:line="336" w:lineRule="auto"/>
        <w:tabs>
          <w:tab w:leader="none" w:pos="17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Senior Notes</w:t>
      </w:r>
    </w:p>
    <w:p>
      <w:pPr>
        <w:spacing w:after="0" w:line="1" w:lineRule="exact"/>
        <w:rPr>
          <w:sz w:val="20"/>
          <w:szCs w:val="20"/>
          <w:color w:val="auto"/>
        </w:rPr>
      </w:pPr>
    </w:p>
    <w:p>
      <w:pPr>
        <w:jc w:val="both"/>
        <w:ind w:firstLine="282"/>
        <w:spacing w:after="0" w:line="221" w:lineRule="auto"/>
        <w:rPr>
          <w:sz w:val="20"/>
          <w:szCs w:val="20"/>
          <w:color w:val="auto"/>
        </w:rPr>
      </w:pPr>
      <w:r>
        <w:rPr>
          <w:rFonts w:ascii="Times New Roman" w:cs="Times New Roman" w:eastAsia="Times New Roman" w:hAnsi="Times New Roman"/>
          <w:sz w:val="18"/>
          <w:szCs w:val="18"/>
          <w:color w:val="auto"/>
        </w:rPr>
        <w:t>At June 30, 2025, Kestrel Group had outstanding publicly-traded senior notes which were issued in 2016 ("2016 Senior Notes") by its now wholly owned subsidiary Maiden and outstanding publicly-traded senior notes which were issued in 2013 ("2013 Senior Notes") by its now wholly owned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subsidiary, Maiden Holdings North America, Ltd. ("Maiden NA"). These are collectively referred to as the Company's outstanding senior notes ("Senior Notes"). The Senior Notes are unsecured and unsubordinated obligations of the Company.</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On May 27, 2025 in connection with the Combination, (i) Maiden, as issuer, the Company, as guarantor, and Wilmington Trust, National Association, as</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trustee, entered into a second supplemental indenture (the “Second Supplemental Indenture”) to 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 (together with the Second Supplemental Indenture,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“Supplemental Indentures”) to that certain indenture dated as of June 24, 2011, providing that the Company will fully and unconditionally guarantee MHNA’s 7.75% Senior Notes due 2043.</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tables detail the issuances of Senior Notes outstanding at June 30, 2025:</w:t>
      </w:r>
    </w:p>
    <w:p>
      <w:pPr>
        <w:spacing w:after="0" w:line="135" w:lineRule="exact"/>
        <w:rPr>
          <w:sz w:val="20"/>
          <w:szCs w:val="20"/>
          <w:color w:val="auto"/>
        </w:rPr>
      </w:pPr>
    </w:p>
    <w:tbl>
      <w:tblPr>
        <w:tblLayout w:type="fixed"/>
        <w:tblInd w:w="280" w:type="dxa"/>
        <w:tblCellMar>
          <w:top w:w="0" w:type="dxa"/>
          <w:left w:w="0" w:type="dxa"/>
          <w:bottom w:w="0" w:type="dxa"/>
          <w:right w:w="0" w:type="dxa"/>
        </w:tblCellMar>
      </w:tblPr>
      <w:tr>
        <w:trPr>
          <w:trHeight w:val="187"/>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2016 Senior Notes</w:t>
            </w:r>
          </w:p>
        </w:tc>
        <w:tc>
          <w:tcPr>
            <w:tcW w:w="20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2013 Senior Notes</w:t>
            </w:r>
          </w:p>
        </w:tc>
        <w:tc>
          <w:tcPr>
            <w:tcW w:w="360" w:type="dxa"/>
            <w:vAlign w:val="bottom"/>
          </w:tcPr>
          <w:p>
            <w:pPr>
              <w:spacing w:after="0"/>
              <w:rPr>
                <w:sz w:val="16"/>
                <w:szCs w:val="16"/>
                <w:color w:val="auto"/>
              </w:rPr>
            </w:pPr>
          </w:p>
        </w:tc>
        <w:tc>
          <w:tcPr>
            <w:tcW w:w="122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D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D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DFFC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55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DFFCC"/>
          </w:tcPr>
          <w:p>
            <w:pPr>
              <w:jc w:val="right"/>
              <w:ind w:right="133"/>
              <w:spacing w:after="0"/>
              <w:rPr>
                <w:sz w:val="20"/>
                <w:szCs w:val="20"/>
                <w:color w:val="auto"/>
              </w:rPr>
            </w:pPr>
            <w:r>
              <w:rPr>
                <w:rFonts w:ascii="Times New Roman" w:cs="Times New Roman" w:eastAsia="Times New Roman" w:hAnsi="Times New Roman"/>
                <w:sz w:val="18"/>
                <w:szCs w:val="18"/>
                <w:color w:val="auto"/>
              </w:rPr>
              <w:t>110,000</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DFFCC"/>
          </w:tcPr>
          <w:p>
            <w:pPr>
              <w:jc w:val="right"/>
              <w:ind w:right="133"/>
              <w:spacing w:after="0"/>
              <w:rPr>
                <w:sz w:val="20"/>
                <w:szCs w:val="20"/>
                <w:color w:val="auto"/>
              </w:rPr>
            </w:pPr>
            <w:r>
              <w:rPr>
                <w:rFonts w:ascii="Times New Roman" w:cs="Times New Roman" w:eastAsia="Times New Roman" w:hAnsi="Times New Roman"/>
                <w:sz w:val="18"/>
                <w:szCs w:val="18"/>
                <w:color w:val="auto"/>
              </w:rPr>
              <w:t>152,361</w:t>
            </w:r>
          </w:p>
        </w:tc>
        <w:tc>
          <w:tcPr>
            <w:tcW w:w="120" w:type="dxa"/>
            <w:vAlign w:val="bottom"/>
            <w:shd w:val="clear" w:color="auto" w:fill="CDFFCC"/>
          </w:tcPr>
          <w:p>
            <w:pPr>
              <w:spacing w:after="0"/>
              <w:rPr>
                <w:sz w:val="19"/>
                <w:szCs w:val="19"/>
                <w:color w:val="auto"/>
              </w:rPr>
            </w:pPr>
          </w:p>
        </w:tc>
        <w:tc>
          <w:tcPr>
            <w:tcW w:w="360" w:type="dxa"/>
            <w:vAlign w:val="bottom"/>
            <w:shd w:val="clear" w:color="auto" w:fill="CD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262,361</w:t>
            </w:r>
          </w:p>
        </w:tc>
      </w:tr>
      <w:tr>
        <w:trPr>
          <w:trHeight w:val="228"/>
        </w:trPr>
        <w:tc>
          <w:tcPr>
            <w:tcW w:w="560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fair value adjustment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43,881</w:t>
            </w:r>
          </w:p>
        </w:tc>
        <w:tc>
          <w:tcPr>
            <w:tcW w:w="100" w:type="dxa"/>
            <w:vAlign w:val="bottom"/>
            <w:tcBorders>
              <w:bottom w:val="single" w:sz="8" w:color="CD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44,697</w:t>
            </w:r>
          </w:p>
        </w:tc>
        <w:tc>
          <w:tcPr>
            <w:tcW w:w="120" w:type="dxa"/>
            <w:vAlign w:val="bottom"/>
            <w:tcBorders>
              <w:bottom w:val="single" w:sz="8" w:color="CDFFC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88,578</w:t>
            </w:r>
          </w:p>
        </w:tc>
      </w:tr>
      <w:tr>
        <w:trPr>
          <w:trHeight w:val="246"/>
        </w:trPr>
        <w:tc>
          <w:tcPr>
            <w:tcW w:w="560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1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DFFCC"/>
          </w:tcPr>
          <w:p>
            <w:pPr>
              <w:jc w:val="right"/>
              <w:ind w:right="133"/>
              <w:spacing w:after="0"/>
              <w:rPr>
                <w:sz w:val="20"/>
                <w:szCs w:val="20"/>
                <w:color w:val="auto"/>
              </w:rPr>
            </w:pPr>
            <w:r>
              <w:rPr>
                <w:rFonts w:ascii="Times New Roman" w:cs="Times New Roman" w:eastAsia="Times New Roman" w:hAnsi="Times New Roman"/>
                <w:sz w:val="18"/>
                <w:szCs w:val="18"/>
                <w:color w:val="auto"/>
              </w:rPr>
              <w:t>66,119</w:t>
            </w:r>
          </w:p>
        </w:tc>
        <w:tc>
          <w:tcPr>
            <w:tcW w:w="100" w:type="dxa"/>
            <w:vAlign w:val="bottom"/>
            <w:tcBorders>
              <w:bottom w:val="single" w:sz="8" w:color="CDFFCC"/>
            </w:tcBorders>
            <w:shd w:val="clear" w:color="auto" w:fill="CDFFCC"/>
          </w:tcPr>
          <w:p>
            <w:pPr>
              <w:spacing w:after="0"/>
              <w:rPr>
                <w:sz w:val="20"/>
                <w:szCs w:val="20"/>
                <w:color w:val="auto"/>
              </w:rPr>
            </w:pPr>
          </w:p>
        </w:tc>
        <w:tc>
          <w:tcPr>
            <w:tcW w:w="200" w:type="dxa"/>
            <w:vAlign w:val="bottom"/>
            <w:tcBorders>
              <w:bottom w:val="single" w:sz="8" w:color="auto"/>
            </w:tcBorders>
            <w:shd w:val="clear" w:color="auto" w:fill="CD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DFFCC"/>
          </w:tcPr>
          <w:p>
            <w:pPr>
              <w:jc w:val="right"/>
              <w:ind w:right="133"/>
              <w:spacing w:after="0"/>
              <w:rPr>
                <w:sz w:val="20"/>
                <w:szCs w:val="20"/>
                <w:color w:val="auto"/>
              </w:rPr>
            </w:pPr>
            <w:r>
              <w:rPr>
                <w:rFonts w:ascii="Times New Roman" w:cs="Times New Roman" w:eastAsia="Times New Roman" w:hAnsi="Times New Roman"/>
                <w:sz w:val="18"/>
                <w:szCs w:val="18"/>
                <w:color w:val="auto"/>
              </w:rPr>
              <w:t>107,664</w:t>
            </w:r>
          </w:p>
        </w:tc>
        <w:tc>
          <w:tcPr>
            <w:tcW w:w="120" w:type="dxa"/>
            <w:vAlign w:val="bottom"/>
            <w:tcBorders>
              <w:bottom w:val="single" w:sz="8" w:color="CDFFCC"/>
            </w:tcBorders>
            <w:shd w:val="clear" w:color="auto" w:fill="CDFFCC"/>
          </w:tcPr>
          <w:p>
            <w:pPr>
              <w:spacing w:after="0"/>
              <w:rPr>
                <w:sz w:val="20"/>
                <w:szCs w:val="20"/>
                <w:color w:val="auto"/>
              </w:rPr>
            </w:pPr>
          </w:p>
        </w:tc>
        <w:tc>
          <w:tcPr>
            <w:tcW w:w="360" w:type="dxa"/>
            <w:vAlign w:val="bottom"/>
            <w:tcBorders>
              <w:bottom w:val="single" w:sz="8" w:color="auto"/>
            </w:tcBorders>
            <w:shd w:val="clear" w:color="auto" w:fill="CD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173,783</w:t>
            </w:r>
          </w:p>
        </w:tc>
      </w:tr>
      <w:tr>
        <w:trPr>
          <w:trHeight w:val="20"/>
        </w:trPr>
        <w:tc>
          <w:tcPr>
            <w:tcW w:w="55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180" w:type="dxa"/>
            <w:vAlign w:val="bottom"/>
            <w:tcBorders>
              <w:top w:val="single" w:sz="8" w:color="CDFFCC"/>
              <w:bottom w:val="single" w:sz="8" w:color="auto"/>
            </w:tcBorders>
          </w:tcPr>
          <w:p>
            <w:pPr>
              <w:spacing w:after="0" w:line="20" w:lineRule="exact"/>
              <w:rPr>
                <w:sz w:val="1"/>
                <w:szCs w:val="1"/>
                <w:color w:val="auto"/>
              </w:rPr>
            </w:pPr>
          </w:p>
        </w:tc>
        <w:tc>
          <w:tcPr>
            <w:tcW w:w="14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c>
          <w:tcPr>
            <w:tcW w:w="166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360" w:type="dxa"/>
            <w:vAlign w:val="bottom"/>
            <w:tcBorders>
              <w:top w:val="single" w:sz="8" w:color="CDFFCC"/>
              <w:bottom w:val="single" w:sz="8" w:color="auto"/>
            </w:tcBorders>
          </w:tcPr>
          <w:p>
            <w:pPr>
              <w:spacing w:after="0" w:line="20" w:lineRule="exact"/>
              <w:rPr>
                <w:sz w:val="1"/>
                <w:szCs w:val="1"/>
                <w:color w:val="auto"/>
              </w:rPr>
            </w:pPr>
          </w:p>
        </w:tc>
        <w:tc>
          <w:tcPr>
            <w:tcW w:w="1220" w:type="dxa"/>
            <w:vAlign w:val="bottom"/>
            <w:tcBorders>
              <w:top w:val="single" w:sz="8" w:color="CDFFCC"/>
              <w:bottom w:val="single" w:sz="8" w:color="auto"/>
            </w:tcBorders>
          </w:tcPr>
          <w:p>
            <w:pPr>
              <w:spacing w:after="0" w:line="20" w:lineRule="exact"/>
              <w:rPr>
                <w:sz w:val="1"/>
                <w:szCs w:val="1"/>
                <w:color w:val="auto"/>
              </w:rPr>
            </w:pPr>
          </w:p>
        </w:tc>
      </w:tr>
      <w:tr>
        <w:trPr>
          <w:trHeight w:val="215"/>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56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Original fair value adjustment at acquisition date</w:t>
            </w:r>
          </w:p>
        </w:tc>
        <w:tc>
          <w:tcPr>
            <w:tcW w:w="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DFFCC"/>
          </w:tcPr>
          <w:p>
            <w:pPr>
              <w:jc w:val="right"/>
              <w:ind w:right="133"/>
              <w:spacing w:after="0"/>
              <w:rPr>
                <w:sz w:val="20"/>
                <w:szCs w:val="20"/>
                <w:color w:val="auto"/>
              </w:rPr>
            </w:pPr>
            <w:r>
              <w:rPr>
                <w:rFonts w:ascii="Times New Roman" w:cs="Times New Roman" w:eastAsia="Times New Roman" w:hAnsi="Times New Roman"/>
                <w:sz w:val="18"/>
                <w:szCs w:val="18"/>
                <w:color w:val="auto"/>
              </w:rPr>
              <w:t>43,928</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DFFCC"/>
          </w:tcPr>
          <w:p>
            <w:pPr>
              <w:jc w:val="right"/>
              <w:ind w:right="133"/>
              <w:spacing w:after="0"/>
              <w:rPr>
                <w:sz w:val="20"/>
                <w:szCs w:val="20"/>
                <w:color w:val="auto"/>
              </w:rPr>
            </w:pPr>
            <w:r>
              <w:rPr>
                <w:rFonts w:ascii="Times New Roman" w:cs="Times New Roman" w:eastAsia="Times New Roman" w:hAnsi="Times New Roman"/>
                <w:sz w:val="18"/>
                <w:szCs w:val="18"/>
                <w:color w:val="auto"/>
              </w:rPr>
              <w:t>44,764</w:t>
            </w:r>
          </w:p>
        </w:tc>
        <w:tc>
          <w:tcPr>
            <w:tcW w:w="12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20" w:type="dxa"/>
            <w:vAlign w:val="bottom"/>
            <w:shd w:val="clear" w:color="auto" w:fill="CDFFCC"/>
          </w:tcPr>
          <w:p>
            <w:pPr>
              <w:spacing w:after="0"/>
              <w:rPr>
                <w:sz w:val="19"/>
                <w:szCs w:val="19"/>
                <w:color w:val="auto"/>
              </w:rPr>
            </w:pPr>
          </w:p>
        </w:tc>
      </w:tr>
      <w:tr>
        <w:trPr>
          <w:trHeight w:val="22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Maturity date</w:t>
            </w:r>
          </w:p>
        </w:tc>
        <w:tc>
          <w:tcPr>
            <w:tcW w:w="18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14, 2046</w:t>
            </w:r>
          </w:p>
        </w:tc>
        <w:tc>
          <w:tcPr>
            <w:tcW w:w="200" w:type="dxa"/>
            <w:vAlign w:val="bottom"/>
          </w:tcPr>
          <w:p>
            <w:pPr>
              <w:spacing w:after="0"/>
              <w:rPr>
                <w:sz w:val="19"/>
                <w:szCs w:val="19"/>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December 1, 2043</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56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Earliest redeemable date (for cash)</w:t>
            </w:r>
          </w:p>
        </w:tc>
        <w:tc>
          <w:tcPr>
            <w:tcW w:w="180" w:type="dxa"/>
            <w:vAlign w:val="bottom"/>
            <w:shd w:val="clear" w:color="auto" w:fill="CDFFCC"/>
          </w:tcPr>
          <w:p>
            <w:pPr>
              <w:spacing w:after="0"/>
              <w:rPr>
                <w:sz w:val="19"/>
                <w:szCs w:val="19"/>
                <w:color w:val="auto"/>
              </w:rPr>
            </w:pPr>
          </w:p>
        </w:tc>
        <w:tc>
          <w:tcPr>
            <w:tcW w:w="1560" w:type="dxa"/>
            <w:vAlign w:val="bottom"/>
            <w:gridSpan w:val="2"/>
            <w:shd w:val="clear" w:color="auto" w:fill="CDFFCC"/>
          </w:tcPr>
          <w:p>
            <w:pPr>
              <w:jc w:val="center"/>
              <w:ind w:right="280"/>
              <w:spacing w:after="0"/>
              <w:rPr>
                <w:sz w:val="20"/>
                <w:szCs w:val="20"/>
                <w:color w:val="auto"/>
              </w:rPr>
            </w:pPr>
            <w:r>
              <w:rPr>
                <w:rFonts w:ascii="Times New Roman" w:cs="Times New Roman" w:eastAsia="Times New Roman" w:hAnsi="Times New Roman"/>
                <w:sz w:val="18"/>
                <w:szCs w:val="18"/>
                <w:color w:val="auto"/>
                <w:w w:val="99"/>
              </w:rPr>
              <w:t>June 14, 2021</w:t>
            </w:r>
          </w:p>
        </w:tc>
        <w:tc>
          <w:tcPr>
            <w:tcW w:w="200" w:type="dxa"/>
            <w:vAlign w:val="bottom"/>
            <w:shd w:val="clear" w:color="auto" w:fill="CDFFCC"/>
          </w:tcPr>
          <w:p>
            <w:pPr>
              <w:spacing w:after="0"/>
              <w:rPr>
                <w:sz w:val="19"/>
                <w:szCs w:val="19"/>
                <w:color w:val="auto"/>
              </w:rPr>
            </w:pPr>
          </w:p>
        </w:tc>
        <w:tc>
          <w:tcPr>
            <w:tcW w:w="1780" w:type="dxa"/>
            <w:vAlign w:val="bottom"/>
            <w:gridSpan w:val="2"/>
            <w:shd w:val="clear" w:color="auto" w:fill="CDFFCC"/>
          </w:tcPr>
          <w:p>
            <w:pPr>
              <w:jc w:val="center"/>
              <w:ind w:right="300"/>
              <w:spacing w:after="0"/>
              <w:rPr>
                <w:sz w:val="20"/>
                <w:szCs w:val="20"/>
                <w:color w:val="auto"/>
              </w:rPr>
            </w:pPr>
            <w:r>
              <w:rPr>
                <w:rFonts w:ascii="Times New Roman" w:cs="Times New Roman" w:eastAsia="Times New Roman" w:hAnsi="Times New Roman"/>
                <w:sz w:val="18"/>
                <w:szCs w:val="18"/>
                <w:color w:val="auto"/>
                <w:w w:val="99"/>
              </w:rPr>
              <w:t>December 1, 2018</w:t>
            </w:r>
          </w:p>
        </w:tc>
        <w:tc>
          <w:tcPr>
            <w:tcW w:w="360" w:type="dxa"/>
            <w:vAlign w:val="bottom"/>
            <w:shd w:val="clear" w:color="auto" w:fill="CDFFCC"/>
          </w:tcPr>
          <w:p>
            <w:pPr>
              <w:spacing w:after="0"/>
              <w:rPr>
                <w:sz w:val="19"/>
                <w:szCs w:val="19"/>
                <w:color w:val="auto"/>
              </w:rPr>
            </w:pPr>
          </w:p>
        </w:tc>
        <w:tc>
          <w:tcPr>
            <w:tcW w:w="1220" w:type="dxa"/>
            <w:vAlign w:val="bottom"/>
            <w:shd w:val="clear" w:color="auto" w:fill="CDFFCC"/>
          </w:tcPr>
          <w:p>
            <w:pPr>
              <w:spacing w:after="0"/>
              <w:rPr>
                <w:sz w:val="19"/>
                <w:szCs w:val="19"/>
                <w:color w:val="auto"/>
              </w:rPr>
            </w:pPr>
          </w:p>
        </w:tc>
      </w:tr>
      <w:tr>
        <w:trPr>
          <w:trHeight w:val="22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Coupon rate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56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80" w:type="dxa"/>
            <w:vAlign w:val="bottom"/>
            <w:shd w:val="clear" w:color="auto" w:fill="CDFFCC"/>
          </w:tcPr>
          <w:p>
            <w:pPr>
              <w:spacing w:after="0"/>
              <w:rPr>
                <w:sz w:val="19"/>
                <w:szCs w:val="19"/>
                <w:color w:val="auto"/>
              </w:rPr>
            </w:pPr>
          </w:p>
        </w:tc>
        <w:tc>
          <w:tcPr>
            <w:tcW w:w="14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11.77 %</w:t>
            </w:r>
          </w:p>
        </w:tc>
        <w:tc>
          <w:tcPr>
            <w:tcW w:w="100" w:type="dxa"/>
            <w:vAlign w:val="bottom"/>
            <w:shd w:val="clear" w:color="auto" w:fill="CDFFCC"/>
          </w:tcPr>
          <w:p>
            <w:pPr>
              <w:spacing w:after="0"/>
              <w:rPr>
                <w:sz w:val="19"/>
                <w:szCs w:val="19"/>
                <w:color w:val="auto"/>
              </w:rPr>
            </w:pPr>
          </w:p>
        </w:tc>
        <w:tc>
          <w:tcPr>
            <w:tcW w:w="200" w:type="dxa"/>
            <w:vAlign w:val="bottom"/>
            <w:shd w:val="clear" w:color="auto" w:fill="CDFFCC"/>
          </w:tcPr>
          <w:p>
            <w:pPr>
              <w:spacing w:after="0"/>
              <w:rPr>
                <w:sz w:val="19"/>
                <w:szCs w:val="19"/>
                <w:color w:val="auto"/>
              </w:rPr>
            </w:pPr>
          </w:p>
        </w:tc>
        <w:tc>
          <w:tcPr>
            <w:tcW w:w="16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11.63 %</w:t>
            </w:r>
          </w:p>
        </w:tc>
        <w:tc>
          <w:tcPr>
            <w:tcW w:w="12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20" w:type="dxa"/>
            <w:vAlign w:val="bottom"/>
            <w:shd w:val="clear" w:color="auto" w:fill="CDFFCC"/>
          </w:tcPr>
          <w:p>
            <w:pPr>
              <w:spacing w:after="0"/>
              <w:rPr>
                <w:sz w:val="19"/>
                <w:szCs w:val="19"/>
                <w:color w:val="auto"/>
              </w:rPr>
            </w:pP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interest and amortization expense incurred on the Senior Notes for the three and six months ended June 30, 2025 was $1,899, of which $1,342 was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accrued as interest payable at June 30, 2025. Under the Combination, the Senior Notes were acquired at their respective fair market values on May 27, 2025, therefore the difference between the principal amount of the acquired debt and the fair market value of the acquired debt is being amortized over the remaining life of the Senior Notes up to par value. The amortization for the fair value adjustment was $114 for the three and six months ended June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Under the terms of the 2013 Senior Notes, the 2013 Senior Notes can be redeemed, in whole or in part, at Maiden NA's option at any time and from time to time, until maturity at a redemption price equal to 100% of the principal amount of the notes to be redeemed plus accrued but unpaid interest on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principal amount being redeemed to, but not including, the redemption date. Maiden NA is required to give at least thirty days and not more than sixty days notice prior to the redemption date. Please refer to </w:t>
      </w:r>
      <w:r>
        <w:rPr>
          <w:rFonts w:ascii="Times New Roman" w:cs="Times New Roman" w:eastAsia="Times New Roman" w:hAnsi="Times New Roman"/>
          <w:sz w:val="18"/>
          <w:szCs w:val="18"/>
          <w:i w:val="1"/>
          <w:iCs w:val="1"/>
          <w:color w:val="auto"/>
        </w:rPr>
        <w:t>Note 11. Commitments, Contingencies and Guarantees</w:t>
      </w:r>
      <w:r>
        <w:rPr>
          <w:rFonts w:ascii="Times New Roman" w:cs="Times New Roman" w:eastAsia="Times New Roman" w:hAnsi="Times New Roman"/>
          <w:sz w:val="18"/>
          <w:szCs w:val="18"/>
          <w:color w:val="auto"/>
        </w:rPr>
        <w:t xml:space="preserve"> for recent litigation regarding the 2013 Senior Notes.</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Under the terms of the 2016 Senior Notes, the 2016 Senior Notes can be redeemed, in whole or in part, at Maiden Holdings' option at any time and from time to time, until maturity at a redemption price equal to 100% of the principal amount of the notes to be redeemed plus accrued but unpaid interest on the principal amount being redeemed to, but not including, the redemption date. Maiden Holdings is required to give at least thirty days and not more than sixty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notice prior to the redemption date.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Company uses reinsurance and retrocessional agreements ("ceded reinsurance") to mitigate volatility, reduce its exposure to certain risks and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provide capital support. Ceded reinsurance provides for the recovery of a portion of loss and LAE under certain circumstances without relieving the Company of its obligations to the policyholders. The Company remains liable to the extent that any of its reinsurers or retrocessionaires fails to meet their obligations. Loss and LAE incurred and premiums earned are reported after deduction for ceded reinsurance. In the event that one or more of our reinsurers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or retrocessionaires are unable to meet their obligations under these agreements, the Company would not realize the full value of the reinsurance recoverable balances. The effect of ceded reinsurance on net premiums written and earned and on net loss and LAE for the six months ended June 30, 2025 was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
        </w:trPr>
        <w:tc>
          <w:tcPr>
            <w:tcW w:w="9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8"/>
        </w:trPr>
        <w:tc>
          <w:tcPr>
            <w:tcW w:w="9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8"/>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9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0"/>
        </w:trPr>
        <w:tc>
          <w:tcPr>
            <w:tcW w:w="966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780" w:type="dxa"/>
            <w:vAlign w:val="bottom"/>
            <w:gridSpan w:val="2"/>
            <w:shd w:val="clear" w:color="auto" w:fill="CCFFCC"/>
          </w:tcPr>
          <w:p>
            <w:pPr>
              <w:ind w:left="60"/>
              <w:spacing w:after="0" w:line="195" w:lineRule="exact"/>
              <w:rPr>
                <w:sz w:val="20"/>
                <w:szCs w:val="20"/>
                <w:color w:val="auto"/>
              </w:rPr>
            </w:pPr>
            <w:r>
              <w:rPr>
                <w:rFonts w:ascii="Times New Roman" w:cs="Times New Roman" w:eastAsia="Times New Roman" w:hAnsi="Times New Roman"/>
                <w:sz w:val="18"/>
                <w:szCs w:val="18"/>
                <w:b w:val="1"/>
                <w:bCs w:val="1"/>
                <w:color w:val="auto"/>
              </w:rPr>
              <w:t>Premiums earned</w:t>
            </w:r>
          </w:p>
        </w:tc>
        <w:tc>
          <w:tcPr>
            <w:tcW w:w="34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8"/>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8"/>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6"/>
        </w:trPr>
        <w:tc>
          <w:tcPr>
            <w:tcW w:w="97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0"/>
        </w:trPr>
        <w:tc>
          <w:tcPr>
            <w:tcW w:w="978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Loss and LAE</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7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Gross loss and LAE</w:t>
            </w: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28"/>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Loss and LAE 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6"/>
        </w:trPr>
        <w:tc>
          <w:tcPr>
            <w:tcW w:w="97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0"/>
        </w:trPr>
        <w:tc>
          <w:tcPr>
            <w:tcW w:w="96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reinsurance recoverable on unpaid losses balance as at June 30, 2025 was $520,520 presented in the Condensed Consolidated Balance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Sheets. As of June 30, 2025, the total allowance for expected credit losses on the Company's reinsurance recoverable balance was $1,655. The following table provides a reconciliation of the beginning and ending balances of the allowance for expected credit losses on reinsurance recoverable for the three and six months ended June 30,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D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on reinsurance recoverable, beginning of period</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980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Expected credit losses on recoverables where credit losses were not previously recognized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46"/>
        </w:trPr>
        <w:tc>
          <w:tcPr>
            <w:tcW w:w="980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 on reinsurance recoverable, end of period</w:t>
            </w:r>
          </w:p>
        </w:tc>
        <w:tc>
          <w:tcPr>
            <w:tcW w:w="340" w:type="dxa"/>
            <w:vAlign w:val="bottom"/>
            <w:tcBorders>
              <w:bottom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1,655</w:t>
            </w:r>
          </w:p>
        </w:tc>
      </w:tr>
      <w:tr>
        <w:trPr>
          <w:trHeight w:val="20"/>
        </w:trPr>
        <w:tc>
          <w:tcPr>
            <w:tcW w:w="970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December 27, 2018, Cavello Bay Reinsurance Limited ("Cavello") and Maiden Reinsurance entered into a retrocession agreement pursuant to which</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certain assets and liabilities associated with the U.S. treaty reinsurance business held by Maiden Reinsurance were 100.0% retroceded to Cavello in exchange for a ceding commission. The reinsurance recoverable on unpaid losses due from Cavello under this retrocession agreement was $36,195 at June 30, 2025. The recoverable due from Cavello is net of an allowance for expected credit losses of $780 as at June 30, 2025.</w:t>
      </w:r>
    </w:p>
    <w:p>
      <w:pPr>
        <w:spacing w:after="0" w:line="62" w:lineRule="exact"/>
        <w:rPr>
          <w:sz w:val="20"/>
          <w:szCs w:val="20"/>
          <w:color w:val="auto"/>
        </w:rPr>
      </w:pPr>
    </w:p>
    <w:p>
      <w:pPr>
        <w:jc w:val="both"/>
        <w:ind w:firstLine="282"/>
        <w:spacing w:after="0" w:line="214" w:lineRule="auto"/>
        <w:rPr>
          <w:sz w:val="20"/>
          <w:szCs w:val="20"/>
          <w:color w:val="auto"/>
        </w:rPr>
      </w:pPr>
      <w:r>
        <w:rPr>
          <w:rFonts w:ascii="Times New Roman" w:cs="Times New Roman" w:eastAsia="Times New Roman" w:hAnsi="Times New Roman"/>
          <w:sz w:val="18"/>
          <w:szCs w:val="18"/>
          <w:color w:val="auto"/>
        </w:rPr>
        <w:t>On July 31, 2019, Maiden Reinsurance and Cavello entered into a Loss Portfolio Transfer and Adverse Development Cover Agreement ("LPT/ADC Agreement") pursuant to which Cavello assumed the loss reserves as of December 31, 2018 associated with the AmTrust Quota Share in excess of a $2,178,535 retention up to $600,000, in exchange for a retrocession premium of $445,000. The $2,178,535 retention is subject to adjustment for paid losses</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subsequent to December 31, 2018. The LPT/ADC Agreement provides Maiden Reinsurance with $155,000 in adverse development cover over its carried AmTrust Quota Share loss reserves at December 31, 2018. The LPT/ADC Agreement meets the criteria for risk transfer and is thus accounted for as retroactive reinsurance. As of June 30, 2025, the reinsurance recoverable on unpaid losses under the LPT/ADC Agreement was $481,747 which was net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expected credit losses of $707 as at June 30, 2025.</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 xml:space="preserve">Cavello provided collateral in the form of a letter of credit in the amount of $445,000 to AmTrust under the LPT/ADC Agreement. Cavello is subject to additional collateral funding requirements as explained in </w:t>
      </w:r>
      <w:r>
        <w:rPr>
          <w:rFonts w:ascii="Times New Roman" w:cs="Times New Roman" w:eastAsia="Times New Roman" w:hAnsi="Times New Roman"/>
          <w:sz w:val="18"/>
          <w:szCs w:val="18"/>
          <w:i w:val="1"/>
          <w:iCs w:val="1"/>
          <w:color w:val="auto"/>
        </w:rPr>
        <w:t>Note 10. Related Party Transactions.</w:t>
      </w:r>
      <w:r>
        <w:rPr>
          <w:rFonts w:ascii="Times New Roman" w:cs="Times New Roman" w:eastAsia="Times New Roman" w:hAnsi="Times New Roman"/>
          <w:sz w:val="18"/>
          <w:szCs w:val="18"/>
          <w:color w:val="auto"/>
        </w:rPr>
        <w:t xml:space="preserve"> As of June 30, 2025, the amount of collateral required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$432,202.</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Under the terms of the LPT/ADC Agreement, the covered losses associated with the Commutation and Release Agreement with AmTrust are eligible to be covered but recoverable only when such losses are paid or settled by AII or its affiliates, provided such losses and other related amounts shall not exceed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$312,786. Cavello's parent company, Enstar Group Limited, has credit ratings of BBB+ from both Standard &amp; Poor's and Fitch Ratings at June 30,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Reinsurance (continued)</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July 18, 2025, the Company received correspondence from Cavello disputing the dates of loss assigned by Maiden Reinsurance’s cedant in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underlying reinsurance contract to a significant number of claims regarding certain coverage. In that correspondence, Cavello asserts that $46,700 in identified claims and approximately $25,000 in potential additional claims would fall outside the applicable coverage and reserves all of its rights under the applicable agreements if these matters are not resolved. This correspondence and the asserted amounts resulted from an audit requested by Cavello in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December 2024 pursuant to its rights under the LPT/ADC Agreement. The Company is continuing to discuss and exchange information with Cavello on these matters and believes the terms of the LPT/ADC Agreement support both the Company’s position on the dates of loss and the current reinsurance recoverable Maiden Reinsurance has recognized for these claims. At this time, the Company cannot predict the outcome of these issues. Please refer to </w:t>
      </w:r>
      <w:r>
        <w:rPr>
          <w:rFonts w:ascii="Times New Roman" w:cs="Times New Roman" w:eastAsia="Times New Roman" w:hAnsi="Times New Roman"/>
          <w:sz w:val="18"/>
          <w:szCs w:val="18"/>
          <w:i w:val="1"/>
          <w:iCs w:val="1"/>
          <w:color w:val="auto"/>
        </w:rPr>
        <w:t>Part</w:t>
      </w:r>
    </w:p>
    <w:p>
      <w:pPr>
        <w:spacing w:after="0" w:line="1" w:lineRule="exact"/>
        <w:rPr>
          <w:sz w:val="20"/>
          <w:szCs w:val="20"/>
          <w:color w:val="auto"/>
        </w:rPr>
      </w:pPr>
    </w:p>
    <w:p>
      <w:pPr>
        <w:ind w:left="220" w:hanging="213"/>
        <w:spacing w:after="0"/>
        <w:tabs>
          <w:tab w:leader="none" w:pos="2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Other Information, Item 1A. Risk Factors </w:t>
      </w:r>
      <w:r>
        <w:rPr>
          <w:rFonts w:ascii="Times New Roman" w:cs="Times New Roman" w:eastAsia="Times New Roman" w:hAnsi="Times New Roman"/>
          <w:sz w:val="18"/>
          <w:szCs w:val="18"/>
          <w:color w:val="auto"/>
        </w:rPr>
        <w:t>for more information regarding these reinsurance and collateral arrangements with Cavello.</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4"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Reserve for Loss and Loss Adjustment Expenses</w:t>
      </w:r>
    </w:p>
    <w:p>
      <w:pPr>
        <w:spacing w:after="0" w:line="92" w:lineRule="exact"/>
        <w:rPr>
          <w:sz w:val="20"/>
          <w:szCs w:val="20"/>
          <w:color w:val="auto"/>
        </w:rPr>
      </w:pPr>
    </w:p>
    <w:p>
      <w:pPr>
        <w:jc w:val="both"/>
        <w:ind w:right="20" w:firstLine="282"/>
        <w:spacing w:after="0" w:line="224" w:lineRule="auto"/>
        <w:rPr>
          <w:sz w:val="20"/>
          <w:szCs w:val="20"/>
          <w:color w:val="auto"/>
        </w:rPr>
      </w:pPr>
      <w:r>
        <w:rPr>
          <w:rFonts w:ascii="Times New Roman" w:cs="Times New Roman" w:eastAsia="Times New Roman" w:hAnsi="Times New Roman"/>
          <w:sz w:val="18"/>
          <w:szCs w:val="18"/>
          <w:color w:val="auto"/>
        </w:rPr>
        <w:t>The Company uses both historical experience and industry-wide loss development factors to provide a reasonable basis for estimating future losses. In the future, certain events may be beyond the control of management, such as changes in law, judicial interpretations of law, and rates of inflation, which may favorably or unfavorably impact the ultimate settlement of the Company’s loss and LAE reserves.</w:t>
      </w:r>
    </w:p>
    <w:p>
      <w:pPr>
        <w:spacing w:after="0" w:line="24" w:lineRule="exact"/>
        <w:rPr>
          <w:sz w:val="20"/>
          <w:szCs w:val="20"/>
          <w:color w:val="auto"/>
        </w:rPr>
      </w:pPr>
    </w:p>
    <w:p>
      <w:pPr>
        <w:jc w:val="both"/>
        <w:ind w:firstLine="282"/>
        <w:spacing w:after="0" w:line="234" w:lineRule="auto"/>
        <w:rPr>
          <w:sz w:val="20"/>
          <w:szCs w:val="20"/>
          <w:color w:val="auto"/>
        </w:rPr>
      </w:pPr>
      <w:r>
        <w:rPr>
          <w:rFonts w:ascii="Times New Roman" w:cs="Times New Roman" w:eastAsia="Times New Roman" w:hAnsi="Times New Roman"/>
          <w:sz w:val="17"/>
          <w:szCs w:val="17"/>
          <w:color w:val="auto"/>
        </w:rPr>
        <w:t>The anticipated effect of inflation is implicitly considered when estimating liabilities for loss and LAE. While anticipated changes in claim costs due to inflation are considered in estimating the ultimate claim costs, changes in the average severity of claims are caused by a number of factors that vary with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individual type of policy written. Ultimate losses are projected based on historical trends adjusted for implemented changes in underwriting standards, claims handling, policy provisions, and general economic trends. Those anticipated trends are monitored based on actual development and are modified if necessary.</w:t>
      </w:r>
    </w:p>
    <w:p>
      <w:pPr>
        <w:spacing w:after="0" w:line="22" w:lineRule="exact"/>
        <w:rPr>
          <w:sz w:val="20"/>
          <w:szCs w:val="20"/>
          <w:color w:val="auto"/>
        </w:rPr>
      </w:pPr>
    </w:p>
    <w:p>
      <w:pPr>
        <w:jc w:val="both"/>
        <w:ind w:firstLine="282"/>
        <w:spacing w:after="0" w:line="221" w:lineRule="auto"/>
        <w:rPr>
          <w:sz w:val="20"/>
          <w:szCs w:val="20"/>
          <w:color w:val="auto"/>
        </w:rPr>
      </w:pPr>
      <w:r>
        <w:rPr>
          <w:rFonts w:ascii="Times New Roman" w:cs="Times New Roman" w:eastAsia="Times New Roman" w:hAnsi="Times New Roman"/>
          <w:sz w:val="18"/>
          <w:szCs w:val="18"/>
          <w:color w:val="auto"/>
        </w:rPr>
        <w:t>The reserving process begins with the collection and analysis of paid losses and incurred claims data for each of the Company's contracts. While reserves are mostly reviewed on a contract by contract basis, paid loss and incurred claims data is also aggregated into reserving segments. The segmental</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data is disaggregated by reserving class and further disaggregated by either accident year (i.e. the year in which the loss event occurred) or by underwriting year (i.e. the year in which the contract generating the premium and losses incepted). In cases where the Company uses underwriting year information, reserves are subsequently allocated to the respective accident year. The reserve for loss and LAE consists of:</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9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9660" w:type="dxa"/>
            <w:vAlign w:val="bottom"/>
            <w:tcBorders>
              <w:bottom w:val="single" w:sz="8" w:color="CCFFCC"/>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97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Reserve for reported loss and LAE</w:t>
            </w:r>
          </w:p>
        </w:tc>
        <w:tc>
          <w:tcPr>
            <w:tcW w:w="220" w:type="dxa"/>
            <w:vAlign w:val="bottom"/>
            <w:gridSpan w:val="2"/>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97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Reserve for losses incurred but not reported ("IBNR")</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0"/>
                <w:szCs w:val="20"/>
                <w:color w:val="auto"/>
              </w:rPr>
            </w:pPr>
          </w:p>
        </w:tc>
        <w:tc>
          <w:tcPr>
            <w:tcW w:w="974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Reserve for loss and LAE</w:t>
            </w:r>
          </w:p>
        </w:tc>
        <w:tc>
          <w:tcPr>
            <w:tcW w:w="220" w:type="dxa"/>
            <w:vAlign w:val="bottom"/>
            <w:tcBorders>
              <w:bottom w:val="single" w:sz="8" w:color="auto"/>
            </w:tcBorders>
            <w:gridSpan w:val="2"/>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723,432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740" w:type="dxa"/>
            <w:vAlign w:val="bottom"/>
            <w:tcBorders>
              <w:top w:val="single" w:sz="8" w:color="CCFFCC"/>
              <w:bottom w:val="single" w:sz="8" w:color="CCFFCC"/>
            </w:tcBorders>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The following table represents a reconciliation of our beginning and ending gross and net loss and LAE reserves:</w:t>
            </w:r>
          </w:p>
        </w:tc>
        <w:tc>
          <w:tcPr>
            <w:tcW w:w="20" w:type="dxa"/>
            <w:vAlign w:val="bottom"/>
            <w:tcBorders>
              <w:top w:val="single" w:sz="8" w:color="CCFFCC"/>
              <w:bottom w:val="single" w:sz="8" w:color="auto"/>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0" w:type="dxa"/>
            <w:vAlign w:val="bottom"/>
          </w:tcPr>
          <w:p>
            <w:pPr>
              <w:spacing w:after="0"/>
              <w:rPr>
                <w:sz w:val="24"/>
                <w:szCs w:val="24"/>
                <w:color w:val="auto"/>
              </w:rPr>
            </w:pPr>
          </w:p>
        </w:tc>
        <w:tc>
          <w:tcPr>
            <w:tcW w:w="9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40" w:type="dxa"/>
            <w:vAlign w:val="bottom"/>
            <w:tcBorders>
              <w:bottom w:val="single" w:sz="8" w:color="auto"/>
            </w:tcBorders>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 w:type="dxa"/>
            <w:vAlign w:val="bottom"/>
            <w:shd w:val="clear" w:color="auto" w:fill="CCFFCC"/>
          </w:tcPr>
          <w:p>
            <w:pPr>
              <w:spacing w:after="0"/>
              <w:rPr>
                <w:sz w:val="19"/>
                <w:szCs w:val="19"/>
                <w:color w:val="auto"/>
              </w:rPr>
            </w:pPr>
          </w:p>
        </w:tc>
        <w:tc>
          <w:tcPr>
            <w:tcW w:w="966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January 1</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0" w:type="dxa"/>
            <w:vAlign w:val="bottom"/>
            <w:tcBorders>
              <w:bottom w:val="single" w:sz="8" w:color="CCFFCC"/>
            </w:tcBorders>
          </w:tcPr>
          <w:p>
            <w:pPr>
              <w:spacing w:after="0"/>
              <w:rPr>
                <w:sz w:val="19"/>
                <w:szCs w:val="19"/>
                <w:color w:val="auto"/>
              </w:rPr>
            </w:pPr>
          </w:p>
        </w:tc>
        <w:tc>
          <w:tcPr>
            <w:tcW w:w="974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losses, January 1</w:t>
            </w:r>
          </w:p>
        </w:tc>
        <w:tc>
          <w:tcPr>
            <w:tcW w:w="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0" w:type="dxa"/>
            <w:vAlign w:val="bottom"/>
            <w:shd w:val="clear" w:color="auto" w:fill="CCFFCC"/>
          </w:tcPr>
          <w:p>
            <w:pPr>
              <w:spacing w:after="0"/>
              <w:rPr>
                <w:sz w:val="19"/>
                <w:szCs w:val="19"/>
                <w:color w:val="auto"/>
              </w:rPr>
            </w:pPr>
          </w:p>
        </w:tc>
        <w:tc>
          <w:tcPr>
            <w:tcW w:w="97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loss and LAE reserves, January 1</w:t>
            </w:r>
          </w:p>
        </w:tc>
        <w:tc>
          <w:tcPr>
            <w:tcW w:w="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incurred losses related to:</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FFCC"/>
          </w:tcPr>
          <w:p>
            <w:pPr>
              <w:spacing w:after="0"/>
              <w:rPr>
                <w:sz w:val="19"/>
                <w:szCs w:val="19"/>
                <w:color w:val="auto"/>
              </w:rPr>
            </w:pPr>
          </w:p>
        </w:tc>
        <w:tc>
          <w:tcPr>
            <w:tcW w:w="9740" w:type="dxa"/>
            <w:vAlign w:val="bottom"/>
            <w:gridSpan w:val="2"/>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CCFFCC"/>
            </w:tcBorders>
          </w:tcPr>
          <w:p>
            <w:pPr>
              <w:spacing w:after="0"/>
              <w:rPr>
                <w:sz w:val="19"/>
                <w:szCs w:val="19"/>
                <w:color w:val="auto"/>
              </w:rPr>
            </w:pPr>
          </w:p>
        </w:tc>
        <w:tc>
          <w:tcPr>
            <w:tcW w:w="9740" w:type="dxa"/>
            <w:vAlign w:val="bottom"/>
            <w:tcBorders>
              <w:bottom w:val="single" w:sz="8" w:color="CCFFC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21"/>
        </w:trPr>
        <w:tc>
          <w:tcPr>
            <w:tcW w:w="40" w:type="dxa"/>
            <w:vAlign w:val="bottom"/>
            <w:shd w:val="clear" w:color="auto" w:fill="CCFFCC"/>
          </w:tcPr>
          <w:p>
            <w:pPr>
              <w:spacing w:after="0"/>
              <w:rPr>
                <w:sz w:val="19"/>
                <w:szCs w:val="19"/>
                <w:color w:val="auto"/>
              </w:rPr>
            </w:pPr>
          </w:p>
        </w:tc>
        <w:tc>
          <w:tcPr>
            <w:tcW w:w="9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240" w:type="dxa"/>
            <w:vAlign w:val="bottom"/>
            <w:tcBorders>
              <w:bottom w:val="single" w:sz="8" w:color="auto"/>
            </w:tcBorders>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paid losses related to:</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FFCC"/>
          </w:tcPr>
          <w:p>
            <w:pPr>
              <w:spacing w:after="0"/>
              <w:rPr>
                <w:sz w:val="19"/>
                <w:szCs w:val="19"/>
                <w:color w:val="auto"/>
              </w:rPr>
            </w:pPr>
          </w:p>
        </w:tc>
        <w:tc>
          <w:tcPr>
            <w:tcW w:w="9740" w:type="dxa"/>
            <w:vAlign w:val="bottom"/>
            <w:gridSpan w:val="2"/>
            <w:shd w:val="clear" w:color="auto" w:fill="CCFFCC"/>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8"/>
        </w:trPr>
        <w:tc>
          <w:tcPr>
            <w:tcW w:w="40" w:type="dxa"/>
            <w:vAlign w:val="bottom"/>
            <w:tcBorders>
              <w:bottom w:val="single" w:sz="8" w:color="CCFFCC"/>
            </w:tcBorders>
          </w:tcPr>
          <w:p>
            <w:pPr>
              <w:spacing w:after="0"/>
              <w:rPr>
                <w:sz w:val="19"/>
                <w:szCs w:val="19"/>
                <w:color w:val="auto"/>
              </w:rPr>
            </w:pPr>
          </w:p>
        </w:tc>
        <w:tc>
          <w:tcPr>
            <w:tcW w:w="9740" w:type="dxa"/>
            <w:vAlign w:val="bottom"/>
            <w:tcBorders>
              <w:bottom w:val="single" w:sz="8" w:color="CCFFCC"/>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(22,115)</w:t>
            </w:r>
          </w:p>
        </w:tc>
        <w:tc>
          <w:tcPr>
            <w:tcW w:w="0" w:type="dxa"/>
            <w:vAlign w:val="bottom"/>
          </w:tcPr>
          <w:p>
            <w:pPr>
              <w:spacing w:after="0"/>
              <w:rPr>
                <w:sz w:val="1"/>
                <w:szCs w:val="1"/>
                <w:color w:val="auto"/>
              </w:rPr>
            </w:pPr>
          </w:p>
        </w:tc>
      </w:tr>
      <w:tr>
        <w:trPr>
          <w:trHeight w:val="221"/>
        </w:trPr>
        <w:tc>
          <w:tcPr>
            <w:tcW w:w="40" w:type="dxa"/>
            <w:vAlign w:val="bottom"/>
            <w:shd w:val="clear" w:color="auto" w:fill="CCFFCC"/>
          </w:tcPr>
          <w:p>
            <w:pPr>
              <w:spacing w:after="0"/>
              <w:rPr>
                <w:sz w:val="19"/>
                <w:szCs w:val="19"/>
                <w:color w:val="auto"/>
              </w:rPr>
            </w:pPr>
          </w:p>
        </w:tc>
        <w:tc>
          <w:tcPr>
            <w:tcW w:w="96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(22,506)</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9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Maiden Legacy run-off business acquired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shd w:val="clear" w:color="auto" w:fill="CCFFCC"/>
          </w:tcPr>
          <w:p>
            <w:pPr>
              <w:spacing w:after="0"/>
              <w:rPr>
                <w:sz w:val="19"/>
                <w:szCs w:val="19"/>
                <w:color w:val="auto"/>
              </w:rPr>
            </w:pPr>
          </w:p>
        </w:tc>
        <w:tc>
          <w:tcPr>
            <w:tcW w:w="97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movements</w:t>
            </w:r>
          </w:p>
        </w:tc>
        <w:tc>
          <w:tcPr>
            <w:tcW w:w="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20" w:type="dxa"/>
            <w:vAlign w:val="bottom"/>
            <w:tcBorders>
              <w:bottom w:val="single" w:sz="8" w:color="auto"/>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 and LAE reserves, June 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780" w:type="dxa"/>
            <w:vAlign w:val="bottom"/>
            <w:gridSpan w:val="3"/>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 June 30</w:t>
            </w:r>
          </w:p>
        </w:tc>
        <w:tc>
          <w:tcPr>
            <w:tcW w:w="20" w:type="dxa"/>
            <w:vAlign w:val="bottom"/>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520,520</w:t>
            </w:r>
          </w:p>
        </w:tc>
        <w:tc>
          <w:tcPr>
            <w:tcW w:w="20" w:type="dxa"/>
            <w:vAlign w:val="bottom"/>
            <w:tcBorders>
              <w:bottom w:val="single" w:sz="8" w:color="auto"/>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June 30</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010202"/>
        </w:rPr>
        <w:t>Actuarial Methods Used to Estimate Loss and LAE Reserves</w:t>
      </w:r>
    </w:p>
    <w:p>
      <w:pPr>
        <w:spacing w:after="0" w:line="79" w:lineRule="exact"/>
        <w:rPr>
          <w:sz w:val="20"/>
          <w:szCs w:val="20"/>
          <w:color w:val="auto"/>
        </w:rPr>
      </w:pPr>
    </w:p>
    <w:p>
      <w:pPr>
        <w:jc w:val="both"/>
        <w:ind w:right="20" w:firstLine="241"/>
        <w:spacing w:after="0" w:line="236" w:lineRule="auto"/>
        <w:rPr>
          <w:sz w:val="20"/>
          <w:szCs w:val="20"/>
          <w:color w:val="auto"/>
        </w:rPr>
      </w:pPr>
      <w:r>
        <w:rPr>
          <w:rFonts w:ascii="Times New Roman" w:cs="Times New Roman" w:eastAsia="Times New Roman" w:hAnsi="Times New Roman"/>
          <w:sz w:val="18"/>
          <w:szCs w:val="18"/>
          <w:color w:val="auto"/>
        </w:rPr>
        <w:t>The Company utilizes a variety of standard actuarial methods in its analysis of loss reserves. The selections from these various methods are based on the loss development characteristics of the specific line of business and significant actuarial judgment. The actuarial methods utilized include:</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Expected Loss Ratio ("ELR") method is a technique that is multiplicative and applies an expected loss ratio to premium earned to yield the estimated ultimate losses. The ELR assumption is generally derived from pricing information and historical experience of the business. This method is frequently used for the purpose of stability in the early valuations of an underwriting year with large and uncertain loss development factors. The ELR technique does not</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take into account actual loss emergence for the underwriting year being projected. As an underwriting year matures and actual loss experience becomes more credible, other methods may be applied in determining the estimated ultimate losses.</w:t>
      </w:r>
    </w:p>
    <w:p>
      <w:pPr>
        <w:spacing w:after="0" w:line="4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Loss Development ("LD") method is a reserving method in which ultimate losses are estimated by applying a loss development factor to actual reported (or paid) loss experience. This method fully utilizes actual experience. Multiplication of underwriting year actual reported (or paid) losses by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development factor produces the estimated ultimate losses.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Reserve for Loss and Loss Adjustment Expenses (continued)</w:t>
      </w:r>
    </w:p>
    <w:p>
      <w:pPr>
        <w:spacing w:after="0" w:line="92" w:lineRule="exact"/>
        <w:rPr>
          <w:sz w:val="20"/>
          <w:szCs w:val="20"/>
          <w:color w:val="auto"/>
        </w:rPr>
      </w:pPr>
    </w:p>
    <w:p>
      <w:pPr>
        <w:jc w:val="both"/>
        <w:ind w:right="20" w:firstLine="241"/>
        <w:spacing w:after="0" w:line="227" w:lineRule="auto"/>
        <w:rPr>
          <w:sz w:val="20"/>
          <w:szCs w:val="20"/>
          <w:color w:val="auto"/>
        </w:rPr>
      </w:pPr>
      <w:r>
        <w:rPr>
          <w:rFonts w:ascii="Times New Roman" w:cs="Times New Roman" w:eastAsia="Times New Roman" w:hAnsi="Times New Roman"/>
          <w:sz w:val="17"/>
          <w:szCs w:val="17"/>
          <w:color w:val="auto"/>
        </w:rPr>
        <w:t>The LD method is based upon the assumption that the relative change in a given underwriting year’s losses from one evaluation point to the next is similar to the relative change in prior underwriting years’ losses at similar evaluation points. In addition, this method is based on the assumption that the reserving and payment patterns as well as the claim handling procedures have not changed substantially over time. In the case where changes to the payment</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patterns or the claim handling procedures are identified, historical losses are adjusted to the current basis, and development factors are selected based on the relative change of the adjusted losses (the Berquist Sherman method is one example of this approach). When a company has a sufficiently reliable loss development history, a development pattern based on the company’s historical indications may be used to develop losses to ultimate values.</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Bornhuetter-Ferguson ("BF") reserving technique is used for long-tailed or lower frequency, more volatile lines. It is also useful in situations where the reported loss experience is relatively immature and/or lacks sufficient credibility for the application of methods that are more heavily reliant on emerged experience. The BF method is an additive IBNR method that combines the ELR and LD techniques by splitting the expected loss into two pieces - expected</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reported (or paid) losses and expected unreported (or unpaid) losses. Expected unreported (unpaid) losses, estimated by the use of loss development factors, are added to the current actual reported (or paid) losses to produce an estimate of ultimate losses by underwriting year. The BF method introduces an element of stability that moderates the impact of inconsistent changes in paid and reported losses.</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The average frequency and severity ("FS") reserving technique is used for lines where claim count is available, and the estimate of loss development factors is more difficult due to volatility in historical data. The available data for such lines is usually more volatile in the estimation of future losses using the LD and BF reserving methods. The FS method uses historical data to estimate the average number of ultimate claims (frequency) and the average costs</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of closed claims (severity). The estimate of ultimate losses by underwriting year is the result of the multiplication of the ultimate number of claims and the average cost of a claim.</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With the guidance of the methods above, actuarial judgment is applied in the determination of ultimate losses. In general, the Company’s segments have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varying levels of seasoning with which the Company has direct experience and as a result, differing methods are utilized to estimate loss and LAE reserves in each segment.</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Diversified Reinsurance legacy business, the Company utilizes the ELR approach at the onset of reserving an account, the BF method for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business with less but maturing loss experience, and as the experience matures the LD method. For proportional or pro-rata business, the Company typically relies heavily on the actual historical contract experience to estimate reserving parameters such as loss development factors, whereas for excess of loss business there will be more usage of industry and/or Company benchmark assumptions.</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Maiden Reinsurance underwrote the AmTrust Reinsurance legacy business from July 1, 2007 until January 30, 2019, when Maiden Reinsurance and AII agreed to terminate the remaining business subject to the AmTrust Quota Share on a run-off basis effective as of January 1, 2019, and Maiden Reinsurance, AEL and AIU DAC agreed to terminate the European Hospital Liability Quota Share on a run-off basis effective as of January 1, 2019. A large proportion of</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the exposure in the underlying book of business has significant seasoning, and allows for a significant amount of credibility in using parameters derived from historical experience to calculate reserve estimates. Some segments of the book are a result of recent acquisitions or newer markets for AmTrust. These segments require a greater level of assumptions and professional judgment in deriving ultimate losses, which inherently implies a wider range of reasonable</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estimates. As a result, the Company has tended to rely on a weighted approach which primarily employs the LD method for aspects of the segment with ample historical data, while also considering the ELR or the BF method for exposures with more limited or volatile historical data. The FS method is also considered for segments of the AmTrust Legacy Reinsurance book of business for which claim count information is available. Additional data detailing items such as class of business, state, claim counts, frequency and severity is available, further enhancing the reserve analysis.</w:t>
      </w:r>
    </w:p>
    <w:p>
      <w:pPr>
        <w:spacing w:after="0" w:line="63"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Prior period loss development ("PPD") arises from changes to loss estimates recognized in the current year that relate to loss reserves established in previous calendar years. The favorable or unfavorable PPD reflects changes in management's best estimate of the ultimate losses under the relevant reinsurance policies after considerable review of changes in actuarial assessments.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(favorable) adverse PPD for our Legacy Reinsurance segment for the three and six months ended June 30, 2025:</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5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8"/>
        </w:trPr>
        <w:tc>
          <w:tcPr>
            <w:tcW w:w="95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(favorable) adverse</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r>
      <w:tr>
        <w:trPr>
          <w:trHeight w:val="228"/>
        </w:trPr>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Diversified Reinsurance legacy business</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8"/>
        </w:trPr>
        <w:tc>
          <w:tcPr>
            <w:tcW w:w="9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AmTrust Reinsurance legacy business</w:t>
            </w: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21"/>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PPD for Legacy Reinsurance Segment</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0"/>
        </w:trPr>
        <w:tc>
          <w:tcPr>
            <w:tcW w:w="9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Reinsurance Segment: Diversified Business</w:t>
      </w:r>
    </w:p>
    <w:p>
      <w:pPr>
        <w:spacing w:after="0" w:line="79" w:lineRule="exact"/>
        <w:rPr>
          <w:sz w:val="20"/>
          <w:szCs w:val="20"/>
          <w:color w:val="auto"/>
        </w:rPr>
      </w:pPr>
    </w:p>
    <w:p>
      <w:pPr>
        <w:ind w:firstLine="241"/>
        <w:spacing w:after="0" w:line="236" w:lineRule="auto"/>
        <w:rPr>
          <w:sz w:val="20"/>
          <w:szCs w:val="20"/>
          <w:color w:val="auto"/>
        </w:rPr>
      </w:pPr>
      <w:r>
        <w:rPr>
          <w:rFonts w:ascii="Times New Roman" w:cs="Times New Roman" w:eastAsia="Times New Roman" w:hAnsi="Times New Roman"/>
          <w:sz w:val="18"/>
          <w:szCs w:val="18"/>
          <w:color w:val="auto"/>
        </w:rPr>
        <w:t>In the Diversified Reinsurance legacy operations, the adverse PPD was $125 for the three and six months ended June 30, 2025 which was primarily driven by adverse development in GLS business.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Reserve for Loss and Loss Adjustment Expenses (continued)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Reinsurance Segment: AmTrust Business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table below shows PPD for the AmTrust Reinsurance legacy operations for the three and six months ended June 30, 2025:</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8"/>
        </w:trPr>
        <w:tc>
          <w:tcPr>
            <w:tcW w:w="964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(favorable) adverse</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28"/>
        </w:trPr>
        <w:tc>
          <w:tcPr>
            <w:tcW w:w="9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AmTrust Quota Share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28"/>
        </w:trPr>
        <w:tc>
          <w:tcPr>
            <w:tcW w:w="97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LPT/ADC Agreement</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8"/>
        </w:trPr>
        <w:tc>
          <w:tcPr>
            <w:tcW w:w="97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European Hospital Liability Quota Share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6"/>
        </w:trPr>
        <w:tc>
          <w:tcPr>
            <w:tcW w:w="974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AmTrust Reinsurance PPD</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0"/>
        </w:trPr>
        <w:tc>
          <w:tcPr>
            <w:tcW w:w="9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Net favorable PPD was $7,913 during the three and six months ended June 30, 2025 as detailed in the table above primarily experienced due to foreign currency fluctuations on reserves denominated in non-USD.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79" w:lineRule="exact"/>
        <w:rPr>
          <w:sz w:val="20"/>
          <w:szCs w:val="20"/>
          <w:color w:val="auto"/>
        </w:rPr>
      </w:pPr>
    </w:p>
    <w:p>
      <w:pPr>
        <w:jc w:val="both"/>
        <w:ind w:firstLine="282"/>
        <w:spacing w:after="0" w:line="248" w:lineRule="auto"/>
        <w:rPr>
          <w:sz w:val="20"/>
          <w:szCs w:val="20"/>
          <w:color w:val="auto"/>
        </w:rPr>
      </w:pPr>
      <w:r>
        <w:rPr>
          <w:rFonts w:ascii="Times New Roman" w:cs="Times New Roman" w:eastAsia="Times New Roman" w:hAnsi="Times New Roman"/>
          <w:sz w:val="18"/>
          <w:szCs w:val="18"/>
          <w:color w:val="auto"/>
        </w:rPr>
        <w:t>Kestrel Intermediate Ledbetter Holdings, LLC ("KILH") was the controlling shareholder of Kestrel. In addition, Terry Ledbetter, the Company's Executive Chairman of the Board of Directors and Luke Ledbetter, the Company's Chief Executive Officer were the founding shareholders of KILH.</w:t>
      </w:r>
    </w:p>
    <w:p>
      <w:pPr>
        <w:spacing w:after="0" w:line="41" w:lineRule="exact"/>
        <w:rPr>
          <w:sz w:val="20"/>
          <w:szCs w:val="20"/>
          <w:color w:val="auto"/>
        </w:rPr>
      </w:pPr>
    </w:p>
    <w:p>
      <w:pPr>
        <w:jc w:val="both"/>
        <w:ind w:right="20" w:firstLine="282"/>
        <w:spacing w:after="0" w:line="221" w:lineRule="auto"/>
        <w:rPr>
          <w:sz w:val="20"/>
          <w:szCs w:val="20"/>
          <w:color w:val="auto"/>
        </w:rPr>
      </w:pPr>
      <w:r>
        <w:rPr>
          <w:rFonts w:ascii="Times New Roman" w:cs="Times New Roman" w:eastAsia="Times New Roman" w:hAnsi="Times New Roman"/>
          <w:sz w:val="18"/>
          <w:szCs w:val="18"/>
          <w:color w:val="auto"/>
        </w:rPr>
        <w:t>The Founding Shareholders of Maiden were Michael Karfunkel, George Karfunkel and Barry Zyskind. Leah Karfunkel (wife of the late Michael Karfunkel) and George Karfunkel are directors of AmTrust, and Barry Zyskind is the chief executive officer and chairman of AmTrust. Leah Karfunkel,</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George Karfunkel and Barry Zyskind own or control approximately 55.2% of the ownership interests of Evergreen Parent, L.P., the ultimate parent of AmTrust.</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describes transactions that have transpired between and among the Company (including Maiden), KILH and AmTrust.</w:t>
      </w:r>
    </w:p>
    <w:p>
      <w:pPr>
        <w:spacing w:after="0" w:line="88" w:lineRule="exact"/>
        <w:rPr>
          <w:sz w:val="20"/>
          <w:szCs w:val="20"/>
          <w:color w:val="auto"/>
        </w:rPr>
      </w:pPr>
    </w:p>
    <w:p>
      <w:pPr>
        <w:jc w:val="both"/>
        <w:ind w:firstLine="282"/>
        <w:spacing w:after="0" w:line="238" w:lineRule="auto"/>
        <w:rPr>
          <w:sz w:val="20"/>
          <w:szCs w:val="20"/>
          <w:color w:val="auto"/>
        </w:rPr>
      </w:pPr>
      <w:r>
        <w:rPr>
          <w:rFonts w:ascii="Times New Roman" w:cs="Times New Roman" w:eastAsia="Times New Roman" w:hAnsi="Times New Roman"/>
          <w:sz w:val="17"/>
          <w:szCs w:val="17"/>
          <w:color w:val="auto"/>
        </w:rPr>
        <w:t>KILH and AmTrust were Kestrel Equityholders, and received Common Shares at closing of the Combination in proportion to its equity interest in Kestrel prior to the closing. Barry Zyskind, George Karfunkel and Leah Karfunkel were individually shareholders of Maiden prior to closing of the Combination, and received common shares at the closing of the Combination in proportion to their respective equity interests in Maiden prior to the closing.</w:t>
      </w:r>
    </w:p>
    <w:p>
      <w:pPr>
        <w:spacing w:after="0" w:line="62" w:lineRule="exact"/>
        <w:rPr>
          <w:sz w:val="20"/>
          <w:szCs w:val="20"/>
          <w:color w:val="auto"/>
        </w:rPr>
      </w:pPr>
    </w:p>
    <w:p>
      <w:pPr>
        <w:jc w:val="both"/>
        <w:ind w:firstLine="282"/>
        <w:spacing w:after="0" w:line="214" w:lineRule="auto"/>
        <w:rPr>
          <w:sz w:val="20"/>
          <w:szCs w:val="20"/>
          <w:color w:val="auto"/>
        </w:rPr>
      </w:pPr>
      <w:r>
        <w:rPr>
          <w:rFonts w:ascii="Times New Roman" w:cs="Times New Roman" w:eastAsia="Times New Roman" w:hAnsi="Times New Roman"/>
          <w:sz w:val="18"/>
          <w:szCs w:val="18"/>
          <w:color w:val="auto"/>
        </w:rPr>
        <w:t>In connection with the Combination, the Kestrel equityholders at the closing date received 2,749,996 common shares of the combined company. The proportionate interest in these shares include 1,811,764 Common Shares issued to KILH for the benefit of Terry Ledbetter and Luke Ledbetter, constituting 18.2% of the Company's issued Common Shares at June 30, 2025, and 776,470 Common Shares issued to AmTrust, constituting 7.8% of the Company's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Common Shares at June 30, 2025.</w:t>
      </w:r>
    </w:p>
    <w:p>
      <w:pPr>
        <w:spacing w:after="0" w:line="55" w:lineRule="exact"/>
        <w:rPr>
          <w:sz w:val="20"/>
          <w:szCs w:val="20"/>
          <w:color w:val="auto"/>
        </w:rPr>
      </w:pPr>
    </w:p>
    <w:p>
      <w:pPr>
        <w:jc w:val="both"/>
        <w:ind w:firstLine="282"/>
        <w:spacing w:after="0" w:line="221" w:lineRule="auto"/>
        <w:rPr>
          <w:sz w:val="20"/>
          <w:szCs w:val="20"/>
          <w:color w:val="auto"/>
        </w:rPr>
      </w:pPr>
      <w:r>
        <w:rPr>
          <w:rFonts w:ascii="Times New Roman" w:cs="Times New Roman" w:eastAsia="Times New Roman" w:hAnsi="Times New Roman"/>
          <w:sz w:val="18"/>
          <w:szCs w:val="18"/>
          <w:color w:val="auto"/>
        </w:rPr>
        <w:t>Barry Zyskind is the beneficial owner of 318,714 Common Shares, constituting 4.1% of the Common Shares outstanding. George Karfunkel is the beneficial owner of 80,000 Common Shares, constituting 1.0% of the Common Shares outstanding. Leah Karfunkel is the beneficial owner of 339,630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Shares, constituting 4.4% of the Common Shares outstanding.</w:t>
      </w:r>
    </w:p>
    <w:p>
      <w:pPr>
        <w:spacing w:after="0" w:line="55" w:lineRule="exact"/>
        <w:rPr>
          <w:sz w:val="20"/>
          <w:szCs w:val="20"/>
          <w:color w:val="auto"/>
        </w:rPr>
      </w:pPr>
    </w:p>
    <w:p>
      <w:pPr>
        <w:jc w:val="both"/>
        <w:ind w:firstLine="282"/>
        <w:spacing w:after="0" w:line="221" w:lineRule="auto"/>
        <w:rPr>
          <w:sz w:val="20"/>
          <w:szCs w:val="20"/>
          <w:color w:val="auto"/>
        </w:rPr>
      </w:pPr>
      <w:r>
        <w:rPr>
          <w:rFonts w:ascii="Times New Roman" w:cs="Times New Roman" w:eastAsia="Times New Roman" w:hAnsi="Times New Roman"/>
          <w:sz w:val="18"/>
          <w:szCs w:val="18"/>
          <w:color w:val="auto"/>
        </w:rPr>
        <w:t>By reason of his position as the chairman and chief executive officer of AmTrust and his equity interest in AmTrust, Barry Zyskind may be deemed to beneficially own the Common Shares owned by AmTrust. By reason of their membership on the board of directors of AmTrust and their equity interests in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AmTrust, each of George Karfunkel and Leah Karfunkel may be also be deemed to beneficially own the Common Shares owned by AmTrust. Therefore, including the 776,470 Common Shares of owned by AmTrust, Barry Zyskind beneficially owns 1,094,754 Common Shares, constituting 11.0% of the Common Shares outstanding; George Karfunkel beneficially owns 856,040 Common Shares, constituting 8.6% of the Common Shares outstanding; and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Leah Karfunkel beneficially owns 1,115,670 Common Shares, constituting 11.2% of the Common Shares outstanding. Each of Barry Zyskind, George Karfunkel and Leah Karfunkel disclaim beneficial ownership of the Common Shares owned by AmTrust to the extent permitted by law.</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As discussed above, AmTrust holds approximately 7.8% of the issued and outstanding Kestrel Group common shares and has the right to nominate (la)</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one non-independent director to the Kestrel Group Ltd board of directors for so long as AmTrust and its affiliates own at least 25% of the shares of Kestrel Group issued to them at the closing of the Combination, and (b) two independent directors to the Kestrel Group board of directors for so long as AmTrust and its affiliates own at least 5% of the shares of Kestrel Group and at least 25% of the shares of Kestrel Group issued to them at the closing of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Combination. Kestrel Group writes its business on a fronting basis initially through the AmTrust Insurance Companies, and will cede up to 100% of underwriting risk in exchange for a ceding fee based on gross premiums written. In addition, AmTrust provides additional services in relation to the AmTrust Insurance Companies pursuant to a management agreement with Kestrel Insurance Agency, including compliance, data reporting, data flow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technology systems. As a result, Kestrel Group relies on its strategic partnership with AmTrust as a related party.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 with AmTrust</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part of the July 26, 2022 Unit Purchase Agreement, AmTrust North America Inc. acquired a 30% minority interest in Kestrel with the option for the</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Company to purchase certain insurance carriers owned by AmTrust North America Inc. The Company also receives professional and administrative services through an expense reimbursement arrangement under the management agreement referenced below with AmTrust North America Inc. The Company</w:t>
      </w:r>
    </w:p>
    <w:p>
      <w:pPr>
        <w:spacing w:after="0" w:line="217" w:lineRule="auto"/>
        <w:rPr>
          <w:sz w:val="20"/>
          <w:szCs w:val="20"/>
          <w:color w:val="auto"/>
        </w:rPr>
      </w:pPr>
      <w:r>
        <w:rPr>
          <w:rFonts w:ascii="Times New Roman" w:cs="Times New Roman" w:eastAsia="Times New Roman" w:hAnsi="Times New Roman"/>
          <w:sz w:val="18"/>
          <w:szCs w:val="18"/>
          <w:color w:val="auto"/>
        </w:rPr>
        <w:t>incurred costs related to this agreement of $96 and $244 during the three and six months ended June 30, 2025 compared to $176 and $616 for the same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respective periods in 2024. These amounts are presented in general and administrative fees in the condensed consolidated statement of operations and include services such as statutory financial reporting, IT processing, legal contracting, and insurance company compliance functions.</w:t>
      </w:r>
    </w:p>
    <w:p>
      <w:pPr>
        <w:spacing w:after="0" w:line="63"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The Company also has an exclusive management contract with AmTrust North America Inc. to produce business through its use of A.M. Best A- FSC XV insurance carriers, including Sierra Specialty Insurance Company, Rochdale Insurance Company, Park National Insurance Company, and Republic Fire</w:t>
      </w:r>
    </w:p>
    <w:p>
      <w:pPr>
        <w:spacing w:after="0" w:line="231" w:lineRule="auto"/>
        <w:rPr>
          <w:sz w:val="20"/>
          <w:szCs w:val="20"/>
          <w:color w:val="auto"/>
        </w:rPr>
      </w:pPr>
      <w:r>
        <w:rPr>
          <w:rFonts w:ascii="Times New Roman" w:cs="Times New Roman" w:eastAsia="Times New Roman" w:hAnsi="Times New Roman"/>
          <w:sz w:val="17"/>
          <w:szCs w:val="17"/>
          <w:color w:val="auto"/>
        </w:rPr>
        <w:t>and Casualty Insurance Company, all subsidiaries of AmTrust. In connection with the Combination Agreement, Kestrel will have the option to acquire these</w:t>
      </w: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insurers from AmTrust for a period of up to three years after the closing date. All fee revenue earned during the three and six months ended June 30, 2025 and 2024 were based on the net premiums associated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right="7960" w:firstLine="7"/>
        <w:spacing w:after="0" w:line="356" w:lineRule="auto"/>
        <w:tabs>
          <w:tab w:leader="none" w:pos="268"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(continued) </w:t>
      </w:r>
      <w:r>
        <w:rPr>
          <w:rFonts w:ascii="Times New Roman" w:cs="Times New Roman" w:eastAsia="Times New Roman" w:hAnsi="Times New Roman"/>
          <w:sz w:val="17"/>
          <w:szCs w:val="17"/>
          <w:b w:val="1"/>
          <w:bCs w:val="1"/>
          <w:i w:val="1"/>
          <w:iCs w:val="1"/>
          <w:color w:val="auto"/>
        </w:rPr>
        <w:t>Board of Directors of the Company</w:t>
      </w: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 xml:space="preserve">Following completion of the Combination, the board of directors of Kestrel Group consists of seven directors, made up of four directors selected by KILH, two of whom are independent under applicable securities laws and stock exchange rules, and three directors selected by AmTrust, two of whom are independent under applicable securities laws and stock exchange rules. Please also refer to </w:t>
      </w:r>
      <w:r>
        <w:rPr>
          <w:rFonts w:ascii="Times New Roman" w:cs="Times New Roman" w:eastAsia="Times New Roman" w:hAnsi="Times New Roman"/>
          <w:sz w:val="18"/>
          <w:szCs w:val="18"/>
          <w:i w:val="1"/>
          <w:iCs w:val="1"/>
          <w:color w:val="auto"/>
        </w:rPr>
        <w:t>Note. 11. Commitments</w:t>
      </w:r>
      <w:r>
        <w:rPr>
          <w:rFonts w:ascii="Times New Roman" w:cs="Times New Roman" w:eastAsia="Times New Roman" w:hAnsi="Times New Roman"/>
          <w:sz w:val="18"/>
          <w:szCs w:val="18"/>
          <w:color w:val="auto"/>
        </w:rPr>
        <w:t xml:space="preserve"> for details of the related party lease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Terry Ledbetter, who is the Company's Executive Chairman, which is effective until January 31, 2026.</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describes the legacy reinsurance transactions that have transpired between Maiden and AmTrust: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AmTrust Quota Share</w:t>
      </w:r>
    </w:p>
    <w:p>
      <w:pPr>
        <w:spacing w:after="0" w:line="92" w:lineRule="exact"/>
        <w:rPr>
          <w:sz w:val="20"/>
          <w:szCs w:val="20"/>
          <w:color w:val="auto"/>
        </w:rPr>
      </w:pPr>
    </w:p>
    <w:p>
      <w:pPr>
        <w:jc w:val="both"/>
        <w:ind w:firstLine="322"/>
        <w:spacing w:after="0" w:line="214" w:lineRule="auto"/>
        <w:rPr>
          <w:sz w:val="20"/>
          <w:szCs w:val="20"/>
          <w:color w:val="auto"/>
        </w:rPr>
      </w:pPr>
      <w:r>
        <w:rPr>
          <w:rFonts w:ascii="Times New Roman" w:cs="Times New Roman" w:eastAsia="Times New Roman" w:hAnsi="Times New Roman"/>
          <w:sz w:val="18"/>
          <w:szCs w:val="18"/>
          <w:color w:val="auto"/>
        </w:rPr>
        <w:t>Effective July 1, 2007, Maiden and AmTrust entered into a master agreement, as amended ("Master Agreement"), by which they caused Maiden Reinsurance and AII to enter into the AmTrust Quota Share by which AII retroceded to Maiden Reinsurance an amount equal to 40% of the premium written by subsidiaries of AmTrust, net of the cost of unaffiliated inuring reinsurance and 40% of losses. The Master Agreement further provided that AII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a ceding commission of 31% of ceded written premiums.</w:t>
      </w:r>
    </w:p>
    <w:p>
      <w:pPr>
        <w:spacing w:after="0" w:line="55" w:lineRule="exact"/>
        <w:rPr>
          <w:sz w:val="20"/>
          <w:szCs w:val="20"/>
          <w:color w:val="auto"/>
        </w:rPr>
      </w:pPr>
    </w:p>
    <w:p>
      <w:pPr>
        <w:jc w:val="both"/>
        <w:ind w:right="20" w:firstLine="322"/>
        <w:spacing w:after="0" w:line="234" w:lineRule="auto"/>
        <w:rPr>
          <w:sz w:val="20"/>
          <w:szCs w:val="20"/>
          <w:color w:val="auto"/>
        </w:rPr>
      </w:pPr>
      <w:r>
        <w:rPr>
          <w:rFonts w:ascii="Times New Roman" w:cs="Times New Roman" w:eastAsia="Times New Roman" w:hAnsi="Times New Roman"/>
          <w:sz w:val="17"/>
          <w:szCs w:val="17"/>
          <w:color w:val="auto"/>
        </w:rPr>
        <w:t>On June 11, 2008, Maiden Reinsurance and AII amended the AmTrust Quota Share to add Retail Commercial Package Business to the Covered Business (as defined in the AmTrust Quota Share). AII receives a ceding commission of 34.375% on Retail Commercial Package Business. On July 1, 2016,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was renewed through June 30, 2019. Effective July 1, 2018, the amount AEL ceded to Maiden Reinsurance was reduced to 20%.</w:t>
      </w:r>
    </w:p>
    <w:p>
      <w:pPr>
        <w:spacing w:after="0" w:line="55" w:lineRule="exact"/>
        <w:rPr>
          <w:sz w:val="20"/>
          <w:szCs w:val="20"/>
          <w:color w:val="auto"/>
        </w:rPr>
      </w:pPr>
    </w:p>
    <w:p>
      <w:pPr>
        <w:jc w:val="both"/>
        <w:ind w:firstLine="282"/>
        <w:spacing w:after="0" w:line="221" w:lineRule="auto"/>
        <w:rPr>
          <w:sz w:val="20"/>
          <w:szCs w:val="20"/>
          <w:color w:val="auto"/>
        </w:rPr>
      </w:pPr>
      <w:r>
        <w:rPr>
          <w:rFonts w:ascii="Times New Roman" w:cs="Times New Roman" w:eastAsia="Times New Roman" w:hAnsi="Times New Roman"/>
          <w:sz w:val="18"/>
          <w:szCs w:val="18"/>
          <w:color w:val="auto"/>
        </w:rPr>
        <w:t>Effective July 1, 2013, for the Specialty Program portion of Covered Business only, AII was responsible for ultimate net loss otherwise recoverable from Maiden Reinsurance to the extent that the loss ratio to Maiden Reinsurance, which shall be determined on an inception to date basis from July 1, 2007</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through the date of calculation, is between 81.5% and 95% ("Loss Corridor"). Above and below the Loss Corridor, Maiden Reinsurance continued to reinsure losses at its proportional 40% share of the AmTrust Quota Share. Effective July 31, 2019, the Loss Corridor was amended such that the maximum amount covered is $40,500, the amount calculated by Maiden Reinsurance for the Loss Corridor coverage as of March 31, 2019. Any development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maximum amount will be subject to the coverage of the LPT/ADC Agreement.</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Effective January 1, 2019, Maiden Reinsurance and AII entered into a partial termination amendment ("Partial Termination Amendment") which amended the AmTrust Quota Share. The Partial Termination Amendment provided for the cut-off of the ongoing and unearned premium of AmTrust’s Small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Commercial Business and U.S. Specialty Risk and Extended Warranty ("Terminated Business") as of December 31, 2018. Under the Partial Termination Amendment, the ceding commission payable by Maiden Reinsurance for its remaining in-force business immediately prior to January 1, 2019 increased by five percentage points with respect to in-force remaining business (excluding Terminated Business) and related unearned premium as of January 1, 2019.</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Subsequently, on January 30, 2019, Maiden Reinsurance and AII agreed to terminate the remaining business subject to the AmTrust Quota Share on a run-off basis effective as of January 1, 2019.</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Effective July 31, 2019, Maiden Reinsurance and AII entered into a Commutation and Release Agreement which provided for AII to assume all reserves</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ceded by AII to Maiden Reinsurance with respect to its proportional 40% share of the ultimate net loss under the AmTrust Quota Share related to the commuted business including: (a) all losses incurred in Accident Year 2017 and Accident Year 2018 under California workers' compensation policies and as defined in the AmTrust Quota Share ("Commuted California Business"); and (b) all losses incurred in Accident Year 2018 under New York workers'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compensation policies ("Commuted New York Business"), and together with the Commuted California Business ("Commuted Business") in exchange for the release and full discharge of Maiden Reinsurance's obligations to AII with respect to the Commuted Business. The Commuted Business excludes any business classified by AII as Specialty Program or Specialty Risk business.</w:t>
      </w:r>
    </w:p>
    <w:p>
      <w:pPr>
        <w:spacing w:after="0" w:line="4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AII and Maiden Reinsurance also agreed that as of July 31, 2019, the AmTrust Quota Share was deemed amended as applicable so that the Commuted Business is no longer included as part of Covered Business under the AmTrust Quota Share.</w:t>
      </w:r>
    </w:p>
    <w:p>
      <w:pPr>
        <w:spacing w:after="0" w:line="41"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On January 30, 2019, in connection with the termination of the reinsurance agreement described above, the Company and AmTrust entered into a second amendment to the Master Agreement between the parties, originally entered into on July 3, 2007, to remove the provisions requiring AmTrust to reinsure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with the Company.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Hospital Liability Quota Share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Effective April 1, 2011, Maiden Reinsurance entered into the European Hospital Liability Quota Share with AEL and AIU DAC. Pursuant to the terms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of the European Hospital Liability Quota Share, Maiden Reinsurance assumed 40% of the premiums and losses related to policies classified as European Hospital Liability, including associated liability coverages and policies covering physician defense costs, written or renewed on or after April 1, 2011. The European Hospital Liability Quota Share also covers policies written or renewed on or before March 31, 2011, but only with respect to losses that occur,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accrue or arise on or after April 1, 2011. The maximum limit of liability attaching shall be €5,000 (€10,000 effective January 1, 2012) or currency equivalent (on a 100% basis) per original claim for any one original policy. Maiden Reinsurance paid a ceding commission of 5% on contracts assumed under the European Hospital Liability Quota Share.</w:t>
      </w:r>
    </w:p>
    <w:p>
      <w:pPr>
        <w:spacing w:after="0" w:line="62" w:lineRule="exact"/>
        <w:rPr>
          <w:sz w:val="20"/>
          <w:szCs w:val="20"/>
          <w:color w:val="auto"/>
        </w:rPr>
      </w:pPr>
    </w:p>
    <w:p>
      <w:pPr>
        <w:jc w:val="both"/>
        <w:ind w:firstLine="282"/>
        <w:spacing w:after="0" w:line="227" w:lineRule="auto"/>
        <w:rPr>
          <w:sz w:val="20"/>
          <w:szCs w:val="20"/>
          <w:color w:val="auto"/>
        </w:rPr>
      </w:pPr>
      <w:r>
        <w:rPr>
          <w:rFonts w:ascii="Times New Roman" w:cs="Times New Roman" w:eastAsia="Times New Roman" w:hAnsi="Times New Roman"/>
          <w:sz w:val="17"/>
          <w:szCs w:val="17"/>
          <w:color w:val="auto"/>
        </w:rPr>
        <w:t>Effective July 1, 2016, the European Hospital Liability Quota Share was amended such that Maiden Reinsurance assumes from AEL 32.5% of the premiums and losses of all policies written or renewed on or after July 1, 2016 until June 30, 2017 and 20% of all policies written or renewed on or after July 1, 2017. Thereafter, on January 30, 2019, Maiden Reinsurance, AEL and AIU DAC agreed to terminate the European Hospital Liability Quota Share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run-off basis effective as of January 1, 2019.</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 (continued)</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Effective July 1, 2022, Maiden Reinsurance and AIU DAC entered into an agreement ("Commutation Agreement") which provided for AIU DAC to</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assume all reserves ceded by AIU DAC to Maiden Reinsurance with respect to AIU DAC’s French Medical Malpractice exposures for underwriting years 2012 through 2018 reinsured by Maiden Reinsurance under the European Hospital Liability Quota Share. In accordance with the Commutation Agreement, Maiden Reinsurance paid $31,291 (€29,401) to AIU DAC, which is the sum of net ceded reserves of $27,625 (€25,956) and an agreed exit cost of $3,666</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(€3,444). As a result of the Commutation Agreement, Maiden Reinsurance reduced its exposure to AmTrust's Hospital Liability business, but still has exposure to Italian medical malpractice liabilities under the European Hospital Liability Quota Share.</w:t>
      </w:r>
    </w:p>
    <w:p>
      <w:pPr>
        <w:spacing w:after="0" w:line="4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The table below shows the effect of both of these quota share arrangements with AmTrust on the Company's Condensed Consolidated Income Statements for the three and six months ended June 30, 2025,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720" w:type="dxa"/>
            <w:vAlign w:val="bottom"/>
            <w:tcBorders>
              <w:bottom w:val="single" w:sz="8" w:color="auto"/>
            </w:tcBorders>
          </w:tcPr>
          <w:p>
            <w:pPr>
              <w:spacing w:after="0"/>
              <w:rPr>
                <w:sz w:val="2"/>
                <w:szCs w:val="2"/>
                <w:color w:val="auto"/>
              </w:rPr>
            </w:pPr>
          </w:p>
        </w:tc>
        <w:tc>
          <w:tcPr>
            <w:tcW w:w="8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7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Gross and net premiums written</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8"/>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8"/>
        </w:trPr>
        <w:tc>
          <w:tcPr>
            <w:tcW w:w="98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loss and LAE</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3,081</w:t>
            </w:r>
          </w:p>
        </w:tc>
      </w:tr>
      <w:tr>
        <w:trPr>
          <w:trHeight w:val="23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provided to AmTrust</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Pursuant to the terms of the LPT/ADC Agreement, Maiden Reinsurance, Cavello and AmTrust and certain of its affiliated companies entered into a Master Collateral Agreement (“MCA”) to define and enable the operation of collateral provided under the AmTrust Quota Share. Under the MCA, Cavello provided letters of credit on behalf of Maiden Reinsurance to AmTrust in an amount representing Cavello’s obligations under the LPT/ADC Agreement.</w:t>
      </w:r>
    </w:p>
    <w:p>
      <w:pPr>
        <w:spacing w:after="0" w:line="3"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Because these letters of credit replaced other collateral previously provided directly by Maiden Reinsurance to AmTrust, the MCA coordinates the collateral protection that will be provided to AmTrust to ensure that no gaps in collateral funding occur by operation of the LPT/ADC Agreement and related MCA.</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 result of entering into both the LPT/ADC Agreement and the MCA, certain post-termination endorsements (“PTEs”) to the AmTrust Quota Share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between AII and Maiden Reinsurance were required. Effective July 31, 2019, the PTEs: i) enable the operation of both the LPT/ADC Agreement and MCA by making provision for certain forms of collateral, including letters of credit provided by Cavello on Maiden Reinsurance’s behalf, and further defines the permitted use and return of collateral; and ii) increase the required funding percentage for Maiden Reinsurance under the collateral arrangements between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parties to 105% of its obligations, subject to a minimum excess funding requirement of $54,000, as may be mutually amended by the parties from time to time. Under certain defined conditions, Maiden Reinsurance may be required to increase this funding percentage to 110%.</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Effective March 16, 2020, Maiden Reinsurance discontinued as a Bermuda company and completed its re-domestication to the State of Vermont.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Bermuda is a Solvency II equivalent jurisdiction and the State of Vermont is not such a jurisdiction; therefore, the collateral provided under the respective agreements with AmTrust subsidiaries was strengthened to reflect the impact of the re-domestication concurrent with the date of Maiden Reinsurance’s re-domestication to Vermont. Maiden Reinsurance and AmTrust agreed to: 1) amend the AmTrust Quota Share pursuant to Post Termination Endorsement No.</w:t>
      </w:r>
    </w:p>
    <w:p>
      <w:pPr>
        <w:spacing w:after="0" w:line="215" w:lineRule="auto"/>
        <w:rPr>
          <w:sz w:val="20"/>
          <w:szCs w:val="20"/>
          <w:color w:val="auto"/>
        </w:rPr>
      </w:pPr>
      <w:r>
        <w:rPr>
          <w:rFonts w:ascii="Times New Roman" w:cs="Times New Roman" w:eastAsia="Times New Roman" w:hAnsi="Times New Roman"/>
          <w:sz w:val="17"/>
          <w:szCs w:val="17"/>
          <w:color w:val="auto"/>
        </w:rPr>
        <w:t>2 effective March 16, 2020; and 2) amend the European Hospital Liability Quota Share pursuant to Post Termination Endorsement No. 1 effective March 16,</w:t>
      </w:r>
    </w:p>
    <w:p>
      <w:pPr>
        <w:spacing w:after="0"/>
        <w:rPr>
          <w:sz w:val="20"/>
          <w:szCs w:val="20"/>
          <w:color w:val="auto"/>
        </w:rPr>
      </w:pPr>
      <w:r>
        <w:rPr>
          <w:rFonts w:ascii="Times New Roman" w:cs="Times New Roman" w:eastAsia="Times New Roman" w:hAnsi="Times New Roman"/>
          <w:sz w:val="18"/>
          <w:szCs w:val="18"/>
          <w:color w:val="auto"/>
        </w:rPr>
        <w:t>2020.</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Pursuant to the terms of Post Termination Endorsement No. 2 to the AmTrust Quota Share, Maiden Reinsurance strengthened the collateral protection</w:t>
      </w:r>
    </w:p>
    <w:p>
      <w:pPr>
        <w:spacing w:after="0" w:line="1"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provided by Maiden Reinsurance to AII by increasing the required funding percentage for Maiden Reinsurance under the collateral arrangements between the parties to 110% of its obligations, subject to a minimum excess funding requirement of $54,000, as may be mutually amended by the parties from time to time. Post Termination Endorsement No. 2 also sets forth conditions by which the funding percentage will be reduced and the sequence of how collateral will be utilized as obligations, as defined under the AmTrust Quota Share, are satisfied. Pursuant to the terms of Post Termination Endorsement No. 2,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percentage was reduced to 107.5% during the first quarter of 2023.</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Pursuant to the terms of Post Termination Endorsement No. 3 to the AmTrust Quota Share, AmTrust has agreed to eliminate the minimum excess funding requirement of $54,000 in the AmTrust Quota Share between All and Maiden. Collateral on the AmTrust Quota Share will now solely be tied to a</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contractually agreed percentage and is expected to be reduced from a current level of 107.5% to 105% during the third quarter of 2025 when its obligations are expected to decline below the $500,000 threshold. The terms of Post Termination Endorsement No. 3 was effective upon the execution and delivery of the AR Loan Agreement and the Premium Repayment Loan Agreement approved by the Vermont DFR on February 7, 2025.</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Pursuant to the terms of Post Termination Endorsement No. 1 to the European Hospital Liability Quota Share, Maiden Reinsurance strengthened the collateral protection provided by Maiden Reinsurance to AEL and AIU DAC by increasing the required funding percentage for Maiden Reinsurance under the collateral arrangements between the parties to the greater of 120% of the Exposure (as defined therein) and the amount of security required to offset the</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increase in the Solvency Capital Requirement (“SCR”) that results from the changes in the SCR which arise out of Maiden Reinsurance's re-domestication as compared to the SCR calculation if Maiden Reinsurance had remained domesticated in a Solvency II equivalent jurisdiction with a solvency ratio above 100% and provided collateral equivalent to 100% of the Exposure.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 (continued)</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Pursuant to the terms of Post Termination Endorsement No. 2 to the European Hospital Liability Quota Share, AmTrust has also agreed to reduce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collateral funding percentage on the European Hospital Liability Quota Share from 120% to 105%, on the effective date of this endorsement, which was approved by the Vermont DFR on February 19, 2025.</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December 31, 2024, Maiden Reinsurance and AmTrust entered into a Loan Agreement (the “Premium Repayment Loan Agreement”) by which</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Maiden Reinsurance will repay AII the principal amount of $24,259 representing settlement of a dispute over cessions of uncollectible ceded premiums written made by AII to Maiden Reinsurance, payable by Maiden Reinsurance in quarterly installments through the maturity date of December 31, 2032. This settlement is netted against the loan receivable from related party on the Consolidated Balance Sheets at June 30, 2025. AmTrust may offset any amount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payable against any amount due and unpaid by Maiden Reinsurance, under any agreement between AmTrust or its affiliate and Maiden Reinsurance or its affiliate, including without limitation, the European Hospital Liability Quota Share, dated April 1, 2011, as amended. Interest is payable at a rate equivalent to the Fed Funds rate plus 150 basis points per annum under the terms of the Premium Repayment Loan Agreement.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AmTrust Quota Share</w:t>
      </w:r>
    </w:p>
    <w:p>
      <w:pPr>
        <w:spacing w:after="0" w:line="77"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To provide AmTrust's U.S. insurance subsidiaries with credit for reinsurance on their statutory financial statements, AII, as the direct reinsurer of AmTrust's insurance subsidiaries, established trust accounts ("Trust Accounts") for their benefit. Maiden Reinsurance has provided appropriate collateral to</w:t>
      </w:r>
    </w:p>
    <w:p>
      <w:pPr>
        <w:spacing w:after="0" w:line="1"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secure its proportional share under the AmTrust Quota Share of AII's obligations to the AmTrust subsidiaries to whom AII is required to provide collateral which can include: (a) assets loaned by Maiden Reinsurance to AII for deposit into the Trust Accounts, pursuant to a loan agreement between those parties;</w:t>
      </w:r>
    </w:p>
    <w:p>
      <w:pPr>
        <w:jc w:val="both"/>
        <w:ind w:firstLine="7"/>
        <w:spacing w:after="0" w:line="217" w:lineRule="auto"/>
        <w:tabs>
          <w:tab w:leader="none" w:pos="2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transferred by Maiden Reinsurance for deposit into the Trust Accounts; or (c) a letter of credit obtained by Maiden Reinsurance and delivered to an AmTrust subsidiary on AII's behalf. Maiden Reinsurance may provide any or a combination of these forms of collateral, provided that the aggregate value thereof equals Maiden Reinsurance's proportionate share of its obligations under the AmTrust Quota Share. The collateral requirements under the AmTrust Quota Share with AII are satisfied as follows:</w:t>
      </w:r>
    </w:p>
    <w:p>
      <w:pPr>
        <w:spacing w:after="0" w:line="62" w:lineRule="exact"/>
        <w:rPr>
          <w:rFonts w:ascii="Times New Roman" w:cs="Times New Roman" w:eastAsia="Times New Roman" w:hAnsi="Times New Roman"/>
          <w:sz w:val="18"/>
          <w:szCs w:val="18"/>
          <w:color w:val="auto"/>
        </w:rPr>
      </w:pPr>
    </w:p>
    <w:p>
      <w:pPr>
        <w:jc w:val="both"/>
        <w:ind w:left="660" w:hanging="251"/>
        <w:spacing w:after="0" w:line="216" w:lineRule="auto"/>
        <w:tabs>
          <w:tab w:leader="none" w:pos="6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2025, Maiden Reinsurance and AmTrust amended the terms of the loan agreement provided by Maiden Reinsurance to AII. Under the revised terms, an Amended and Restated Loan Agreement was entered into effective January 1, 2025 (the “AR Loan Agreement”), by which the principal amount of the collateral loan will be repaid (subject to funding of collateral requirements) on or before the revised maturity date of January 1, 2033 pursuant to a repayment schedule set forth in the AR Loan Agreement. The principal amount shall equal (a) $152,377 minus (b) the amount of payments and any prepayments made by or on behalf of AmTrust from time to time. Interest is payable at a rate equivalent to the Federal Funds Effective Rate ("Fed Funds") plus 150 basis points per annum under the terms of the AR Loan Agreement.</w:t>
      </w:r>
    </w:p>
    <w:p>
      <w:pPr>
        <w:spacing w:after="0" w:line="61" w:lineRule="exact"/>
        <w:rPr>
          <w:rFonts w:ascii="Times New Roman" w:cs="Times New Roman" w:eastAsia="Times New Roman" w:hAnsi="Times New Roman"/>
          <w:sz w:val="18"/>
          <w:szCs w:val="18"/>
          <w:color w:val="auto"/>
        </w:rPr>
      </w:pPr>
    </w:p>
    <w:p>
      <w:pPr>
        <w:jc w:val="both"/>
        <w:ind w:left="660" w:hanging="251"/>
        <w:spacing w:after="0" w:line="218" w:lineRule="auto"/>
        <w:tabs>
          <w:tab w:leader="none" w:pos="6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AmTrust may offset any amount payable against any amount due and unpaid by Maiden Reinsurance, under any agreement between AmTrust or its affiliate and Maiden Reinsurance or its affiliate, including without limitation, the AmTrust Quota Share and European Hospital Liability Quota Share dated April 1, 2011, as amended, between Maiden Reinsurance and AmTrust, any other reinsurance agreements between AmTrust or its affiliates and Maiden Reinsurance or its affiliates and the Premium Repayment Loan Agreement dated December 31, 2024 with respect to the settlement of certain ceded premium balances of $24,259 entered into between AII and Maiden Reinsurance.</w:t>
      </w:r>
    </w:p>
    <w:p>
      <w:pPr>
        <w:spacing w:after="0" w:line="51" w:lineRule="exact"/>
        <w:rPr>
          <w:rFonts w:ascii="Times New Roman" w:cs="Times New Roman" w:eastAsia="Times New Roman" w:hAnsi="Times New Roman"/>
          <w:sz w:val="18"/>
          <w:szCs w:val="18"/>
          <w:color w:val="auto"/>
        </w:rPr>
      </w:pPr>
    </w:p>
    <w:p>
      <w:pPr>
        <w:jc w:val="both"/>
        <w:ind w:left="660" w:hanging="251"/>
        <w:spacing w:after="0" w:line="230" w:lineRule="auto"/>
        <w:tabs>
          <w:tab w:leader="none" w:pos="6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under the AR Loan Agreement and Premium Repayment Loan Agreement are presented on a net basis. The outstanding net loan receivable was $107,490 at June 30, 2025. There was no allowance for expected credit losses recognized on the loan at June 30, 2025. Net interest income on the net loan receivable was $659 for the three and six months ended June 30, 2025 with an effective yield of 5.8%.</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European Hospital Liability Quota Share</w:t>
      </w:r>
    </w:p>
    <w:p>
      <w:pPr>
        <w:spacing w:after="0" w:line="77"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Collateral has been provided to both AEL and AIU DAC under the European Hospital Liability Quota Share. For AEL, the amount of the collateral held in reinsurance trust accounts at June 30, 2025 was $144,716 and the accrued interest was $592.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Management Agreement</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Effective July 1, 2007, Maiden entered into an asset management agreement with AII Insurance Management Limited ("AIIM"), a wholly owned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subsidiary of AmTrust, pursuant to which AIIM agreed to provide investment management services to the Company. Effective January 1, 2018, AIIM provides investment management services for a quarterly fee of 0.02125% of the average value of the account. The agreement may be terminated upon 30 days written notice by either party. The Company recorded $2 of investment management fees for the three and six months ended June 30, 2025 under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On September 9, 2020, Maiden Reinsurance, AmTrust and AIIM entered into a novation agreement, effective July 1, 2020, which provided for the novation of the asset management agreement, dated January 1, 2018 between Maiden Reinsurance and AIIM, and the release by Maiden Reinsurance of</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November 13, 2020, Maiden LF, Maiden GF, AmTrust and AIIM entered into a novation agreement, effective July 1, 2020, which provided for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novation of the asset management agreement, dated January 1, 2018 between Maiden LF, Maiden GF and AIIM, and the release by Maiden LF and Maiden GF of AIIM's obligations under the asset management agreement. The novation mandates that AmTrust is to be bound by the terms of the asset management agreement in place of AIIM and AmTrust agrees to perform any and all past, present and future obligations of AIIM under the asset management agreement.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right="7960" w:firstLine="7"/>
        <w:spacing w:after="0" w:line="356" w:lineRule="auto"/>
        <w:tabs>
          <w:tab w:leader="none" w:pos="268"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(continued) </w:t>
      </w:r>
      <w:r>
        <w:rPr>
          <w:rFonts w:ascii="Times New Roman" w:cs="Times New Roman" w:eastAsia="Times New Roman" w:hAnsi="Times New Roman"/>
          <w:sz w:val="17"/>
          <w:szCs w:val="17"/>
          <w:b w:val="1"/>
          <w:bCs w:val="1"/>
          <w:i w:val="1"/>
          <w:iCs w:val="1"/>
          <w:color w:val="auto"/>
        </w:rPr>
        <w:t>Renewal Rights Transaction - IIS Business</w:t>
      </w: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On May 3, 2024, Maiden LF and Maiden GF entered into a Renewal Rights and Asset Purchase Agreement with AmTrust Nordic AB, a Swedish unit of AmTrust, which is expected to cover certain programs of Maiden LF and Maiden GF's primary business written in Sweden, Norway and other Nordic countries.</w:t>
      </w:r>
    </w:p>
    <w:p>
      <w:pPr>
        <w:spacing w:after="0" w:line="64"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On June 20, 2024, Maiden LF and Maiden GF entered into a Renewal Rights and Asset Purchase Agreement with AmTrust Europe Limited ("AEL") and AmTrust International Underwriters DAC ("AIU DAC"), both wholly owned subsidiaries of AmTrust, which is expected to cover certain programs of Maiden LF and Maiden GF's primary business written in the United Kingdom and Ireland.</w:t>
      </w:r>
    </w:p>
    <w:p>
      <w:pPr>
        <w:spacing w:after="0" w:line="64"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Under these agreements, those AmTrust subsidiaries in collaboration with existing Maiden LF and Maiden GF distribution partners, will offer renewals to select policyholders in exchange for a fee at standard market terms for business successfully renewed. All programs written by Maiden LF and GF,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including those covered by the agreements as described above, are in the process of being cancelled in accordance with either their contractual terms or as applicable, the requirements of these agreements. As at June 30, 2025, Maiden LF and Maiden GF had substantially completed all the main contractual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as per the AmTrust Renewal Rights Agreements.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0" w:hanging="253"/>
        <w:spacing w:after="0"/>
        <w:tabs>
          <w:tab w:leader="none" w:pos="2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78"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describes the Company's current commitments, contingencies and concentrations as of June 30,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Concentrations of Credit Risk</w:t>
      </w:r>
    </w:p>
    <w:p>
      <w:pPr>
        <w:spacing w:after="0" w:line="79"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At June 30, 2025, the Company’s assets where significant concentrations of credit risk may exist include total investments, cash and cash equivalents, net loan receivable from related party, reinsurance balances receivable, reinsurance recoverable on paid and unpaid losses and funds withheld receivable. Please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refer to "</w:t>
      </w:r>
      <w:r>
        <w:rPr>
          <w:rFonts w:ascii="Times New Roman" w:cs="Times New Roman" w:eastAsia="Times New Roman" w:hAnsi="Times New Roman"/>
          <w:sz w:val="18"/>
          <w:szCs w:val="18"/>
          <w:i w:val="1"/>
          <w:iCs w:val="1"/>
          <w:color w:val="auto"/>
        </w:rPr>
        <w:t>Note 8. Reinsurance</w:t>
      </w:r>
      <w:r>
        <w:rPr>
          <w:rFonts w:ascii="Times New Roman" w:cs="Times New Roman" w:eastAsia="Times New Roman" w:hAnsi="Times New Roman"/>
          <w:sz w:val="18"/>
          <w:szCs w:val="18"/>
          <w:color w:val="auto"/>
        </w:rPr>
        <w:t>" for additional information regarding the Company's credit risk exposure on its reinsurance counterparties including the impact of the LPT/ADC Agreement effective January 1, 2019. The Company requires its reinsurers to have adequate financial strength.</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3. Segment Information</w:t>
      </w:r>
      <w:r>
        <w:rPr>
          <w:rFonts w:ascii="Times New Roman" w:cs="Times New Roman" w:eastAsia="Times New Roman" w:hAnsi="Times New Roman"/>
          <w:sz w:val="18"/>
          <w:szCs w:val="18"/>
          <w:color w:val="auto"/>
        </w:rPr>
        <w:t>, the Company's Program Services segment consists of a cohesive suite of fronting services that are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integrated and interdependent. For the three and six months ended June 30, 2025 and 2024, this revenue stream is highly concentrated due to capacity distribution agreements with an individual customer.</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evaluates the financial condition of its reinsurers, program managers and MGAs and monitors its concentration of credit risk on an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ongoing basis. Provisions are made for amounts that are considered potentially uncollectible. Reinsurance receivable and recoverable balances, net loan receivable from related party, and the funds withheld receivable are reviewed for expected credit losses on a quarterly basis and are presented net of an allowance for expected credit losses. Letters of credit are provided by its reinsurers for material amounts recoverable as discussed in "</w:t>
      </w:r>
      <w:r>
        <w:rPr>
          <w:rFonts w:ascii="Times New Roman" w:cs="Times New Roman" w:eastAsia="Times New Roman" w:hAnsi="Times New Roman"/>
          <w:sz w:val="18"/>
          <w:szCs w:val="18"/>
          <w:i w:val="1"/>
          <w:iCs w:val="1"/>
          <w:color w:val="auto"/>
        </w:rPr>
        <w:t>Note 8. Reinsurance</w:t>
      </w:r>
      <w:r>
        <w:rPr>
          <w:rFonts w:ascii="Times New Roman" w:cs="Times New Roman" w:eastAsia="Times New Roman" w:hAnsi="Times New Roman"/>
          <w:sz w:val="18"/>
          <w:szCs w:val="18"/>
          <w:color w:val="auto"/>
        </w:rPr>
        <w:t>".</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Company manages the concentration of credit risk in its investment portfolio through issuer and sector exposure limitations. The Company believes it bears minimal credit risk in its cash on deposit. The Company also monitors the credit risk related to the net loan receivable from related party, reinsurance balances receivable and funds withheld receivable, within which the largest balances are due from AmTrust. AmTrust has a financial strength/credit rating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(Excellent) from A.M. Best at June 30, 2025.</w:t>
      </w:r>
    </w:p>
    <w:p>
      <w:pPr>
        <w:spacing w:after="0" w:line="55"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To mitigate credit risk, the Company generally has a contractual right of offset thereby allowing claims to be settled net of any premiums or loan receivable. The Company believes these balances as at June 30, 2025 will be fully collectible.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Investment Commitments and Related Financial Guarantees</w:t>
      </w:r>
    </w:p>
    <w:p>
      <w:pPr>
        <w:spacing w:after="0" w:line="79" w:lineRule="exact"/>
        <w:rPr>
          <w:sz w:val="20"/>
          <w:szCs w:val="20"/>
          <w:color w:val="auto"/>
        </w:rPr>
      </w:pPr>
    </w:p>
    <w:p>
      <w:pPr>
        <w:jc w:val="both"/>
        <w:ind w:firstLine="282"/>
        <w:spacing w:after="0" w:line="236" w:lineRule="auto"/>
        <w:rPr>
          <w:sz w:val="20"/>
          <w:szCs w:val="20"/>
          <w:color w:val="auto"/>
        </w:rPr>
      </w:pPr>
      <w:r>
        <w:rPr>
          <w:rFonts w:ascii="Times New Roman" w:cs="Times New Roman" w:eastAsia="Times New Roman" w:hAnsi="Times New Roman"/>
          <w:sz w:val="18"/>
          <w:szCs w:val="18"/>
          <w:color w:val="auto"/>
        </w:rPr>
        <w:t>The Company's total unfunded commitments on other investments and equity method investments was $38,441 at June 30, 2025. The table below shows the total unfunded commitments by type of investment as at June 30,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60" w:type="dxa"/>
            <w:vAlign w:val="bottom"/>
          </w:tcPr>
          <w:p>
            <w:pPr>
              <w:spacing w:after="0"/>
              <w:rPr>
                <w:sz w:val="16"/>
                <w:szCs w:val="16"/>
                <w:color w:val="auto"/>
              </w:rPr>
            </w:pPr>
          </w:p>
        </w:tc>
      </w:tr>
      <w:tr>
        <w:trPr>
          <w:trHeight w:val="25"/>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8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w w:val="99"/>
              </w:rPr>
              <w:t>% of Total</w:t>
            </w:r>
          </w:p>
        </w:tc>
      </w:tr>
      <w:tr>
        <w:trPr>
          <w:trHeight w:val="228"/>
        </w:trPr>
        <w:tc>
          <w:tcPr>
            <w:tcW w:w="8460" w:type="dxa"/>
            <w:vAlign w:val="bottom"/>
            <w:tcBorders>
              <w:top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unfunded commitments on other investments</w:t>
            </w:r>
          </w:p>
        </w:tc>
        <w:tc>
          <w:tcPr>
            <w:tcW w:w="260" w:type="dxa"/>
            <w:vAlign w:val="bottom"/>
            <w:tcBorders>
              <w:top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23,837</w:t>
            </w:r>
          </w:p>
        </w:tc>
        <w:tc>
          <w:tcPr>
            <w:tcW w:w="120" w:type="dxa"/>
            <w:vAlign w:val="bottom"/>
            <w:tcBorders>
              <w:top w:val="single" w:sz="8" w:color="CCFFCC"/>
            </w:tcBorders>
            <w:shd w:val="clear" w:color="auto" w:fill="CCFFCC"/>
          </w:tcPr>
          <w:p>
            <w:pPr>
              <w:spacing w:after="0"/>
              <w:rPr>
                <w:sz w:val="19"/>
                <w:szCs w:val="19"/>
                <w:color w:val="auto"/>
              </w:rPr>
            </w:pPr>
          </w:p>
        </w:tc>
        <w:tc>
          <w:tcPr>
            <w:tcW w:w="280" w:type="dxa"/>
            <w:vAlign w:val="bottom"/>
            <w:tcBorders>
              <w:top w:val="single" w:sz="8" w:color="auto"/>
            </w:tcBorders>
            <w:shd w:val="clear" w:color="auto" w:fill="CCFFCC"/>
          </w:tcPr>
          <w:p>
            <w:pPr>
              <w:spacing w:after="0"/>
              <w:rPr>
                <w:sz w:val="19"/>
                <w:szCs w:val="19"/>
                <w:color w:val="auto"/>
              </w:rPr>
            </w:pPr>
          </w:p>
        </w:tc>
        <w:tc>
          <w:tcPr>
            <w:tcW w:w="9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28"/>
        </w:trPr>
        <w:tc>
          <w:tcPr>
            <w:tcW w:w="8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4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unfunded commitments on equity method investments</w:t>
            </w:r>
          </w:p>
        </w:tc>
        <w:tc>
          <w:tcPr>
            <w:tcW w:w="2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12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94"/>
        </w:trPr>
        <w:tc>
          <w:tcPr>
            <w:tcW w:w="8460" w:type="dxa"/>
            <w:vAlign w:val="bottom"/>
            <w:tcBorders>
              <w:bottom w:val="single" w:sz="8" w:color="CCFFC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0" w:type="dxa"/>
            <w:vAlign w:val="bottom"/>
            <w:tcBorders>
              <w:bottom w:val="single" w:sz="8" w:color="CCFFCC"/>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246"/>
        </w:trPr>
        <w:tc>
          <w:tcPr>
            <w:tcW w:w="846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unfunded commitments on alternative investments</w:t>
            </w:r>
          </w:p>
        </w:tc>
        <w:tc>
          <w:tcPr>
            <w:tcW w:w="26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20" w:type="dxa"/>
            <w:vAlign w:val="bottom"/>
            <w:tcBorders>
              <w:bottom w:val="single" w:sz="8" w:color="CCFFCC"/>
            </w:tcBorders>
            <w:shd w:val="clear" w:color="auto" w:fill="CCFFCC"/>
          </w:tcPr>
          <w:p>
            <w:pPr>
              <w:spacing w:after="0"/>
              <w:rPr>
                <w:sz w:val="20"/>
                <w:szCs w:val="20"/>
                <w:color w:val="auto"/>
              </w:rPr>
            </w:pPr>
          </w:p>
        </w:tc>
        <w:tc>
          <w:tcPr>
            <w:tcW w:w="28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46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Certain of the Company's investments in limited partnerships are related to real estate joint ventures with interests in multi-property projects with varying</w:t>
      </w:r>
    </w:p>
    <w:p>
      <w:pPr>
        <w:spacing w:after="0" w:line="1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Any loss for which the Company could be liable would be contingent on the default of a loan by the real estate joint venture entity for which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Company provided a financial guarantee to a lender. While the Company has committed to aggregate limits as to the amount of guarantees it will provide as 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As discussed above, at June 30, 2025, guarantees of $71,598 were provided to lenders by the Company on behalf of real estate joint ventures, however, the likelihood of the Company incurring any losses pertaining to project level financing guarantees was determined to be remote. Therefore, no liability has been accrued under ASC 450-20.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Contingent Commitments</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As a result of the Combination Agreement, Kestrel Equityholders are entitled to receive in contingent consideration up to the lesser of (x) an aggregate number of Kestrel Group common shares equal to $45.0 million divided by certain volume weighted average prices of such shares, subject to the achievement of certain EBITDA milestones by the businesses that Kestrel conducted immediately prior to closing and any extensions of such businesses or</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related or ancillary businesses existing thereafter, subject to other terms and conditions as set forth in the combination agreement and (y) 2.75 million common shares of Kestrel Group. On June 30, 2025, the fair value of this contingent consideration was $2,679 which is reported on its own line in the Condensed Consolidated Balance Sheets. The change in fair value of the earn out liability was an increase of $2,679 for the three and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respectively, and was recorded in the condensed consolidated statements of net income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Contingencies and Guarantees (continued)</w:t>
      </w:r>
    </w:p>
    <w:p>
      <w:pPr>
        <w:spacing w:after="0" w:line="79" w:lineRule="exact"/>
        <w:rPr>
          <w:sz w:val="20"/>
          <w:szCs w:val="20"/>
          <w:color w:val="auto"/>
        </w:rPr>
      </w:pPr>
    </w:p>
    <w:p>
      <w:pPr>
        <w:jc w:val="both"/>
        <w:ind w:firstLine="241"/>
        <w:spacing w:after="0" w:line="229" w:lineRule="auto"/>
        <w:rPr>
          <w:sz w:val="20"/>
          <w:szCs w:val="20"/>
          <w:color w:val="auto"/>
        </w:rPr>
      </w:pPr>
      <w:r>
        <w:rPr>
          <w:rFonts w:ascii="Times New Roman" w:cs="Times New Roman" w:eastAsia="Times New Roman" w:hAnsi="Times New Roman"/>
          <w:sz w:val="18"/>
          <w:szCs w:val="18"/>
          <w:color w:val="auto"/>
        </w:rPr>
        <w:t>At June 30, 2025, the Company holds a contingent receivable in the insurance distribution industry. Pursuant to the terms of the investment agreement, the Company will receive a series of distributions. The Company currently estimates that the net present value of these potential distributions is $14,347</w:t>
      </w:r>
    </w:p>
    <w:p>
      <w:pPr>
        <w:jc w:val="both"/>
        <w:spacing w:after="0" w:line="209" w:lineRule="auto"/>
        <w:rPr>
          <w:sz w:val="20"/>
          <w:szCs w:val="20"/>
          <w:color w:val="auto"/>
        </w:rPr>
      </w:pPr>
      <w:r>
        <w:rPr>
          <w:rFonts w:ascii="Times New Roman" w:cs="Times New Roman" w:eastAsia="Times New Roman" w:hAnsi="Times New Roman"/>
          <w:sz w:val="18"/>
          <w:szCs w:val="18"/>
          <w:color w:val="auto"/>
        </w:rPr>
        <w:t xml:space="preserve">which has been classified as receivable and reported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condensed consolidated balance sheets at June 30, 2025. Under ASC 805, the earn out consideration for this receivable will be adjusted to fair value at each reporting period with any changes in fair value reported immediately in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Operating Lease Commitments</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The Company leases office spaces and equipment under various operating leases expiring in various years through 2034. The Company's leases are currently classified as operating leases and none of them have non-lease components. For operating leases that have a lease term of more than twelve months, and whose lease payments are above a certain threshold, the Company recognizes a lease liability and a right-of-use asset in the Condensed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at the present value of the remaining lease payments until expiration.</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Kestrel’s principal executive offices are presently located at 8333 Douglas Avenue, Suite 1360 in Dallas, Texas. The Dallas office is leased through Ledbetter Interests, Ltd., an entity affiliated with Terry Ledbetter, who is the Company's Executive Chairman, pursuant to a Lease Agreement dated October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23, 2019. Kestrel Service Corporation, Kestrel’s wholly owned subsidiary, reimburses Terry Ledbetter via an expense reimbursement provision under his employment agreement for the use of this leased office space. This Lease Agreement expires January 31, 2026 and will not be renewed.</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Kestrel also leases office space for the corporate office in Austin, Texas, through Kestrel Service Corporation, that expires in 2027. The Austin office will</w:t>
      </w:r>
    </w:p>
    <w:p>
      <w:pPr>
        <w:spacing w:after="0" w:line="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be the principal executive office effective February 1, 2026. Lease payments have an escalating fee schedule, which range from a 3% to 4% increase each year. Termination of the lease is generally prohibited unless there is a violation under the lease agreement. Neither of these leases meet the minimum threshold for lease liability recognition and therefore these rent payments are expensed as incurred.</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Maiden also leases office space in a building in New York City that commenced in April 2024, which created a significant right-of-use asset and lease liability upon completion of leasehold improvements for the ten-year operating lease. This lease comprises the entire lease liabilty and right-of-use asset that was recognized on the consolidated balance sheet at June 30, 2025.</w:t>
      </w:r>
    </w:p>
    <w:p>
      <w:pPr>
        <w:spacing w:after="0" w:line="64"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As the lease contracts generally do not provide an implicit discount rate, the Company used the weighted-average discount rate of 7.1%, representing its secured incremental borrowing rate, in calculating the present value of the lease liability. At June 30, 2025, the Company's future lease obligations of $2,160 (2024 - $244) were calculated based on the present value of future annual rental commitments excluding taxes, insurance and other operating costs for non-</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cancellable operating leases discounted using its secured incremental borrowing rate. This amount has been recognized on the Condensed Consolidated Balance Sheet as a lease liability within accrued expenses and other liabilities with the right-of-use asset presented as part of other assets. At June 30, 2025, the Company's right-of-use lease asset was $1,584 (2024 - $223).</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The Company has made an accounting policy election not to include renewal, termination, or purchase options that are not reasonably certain of exercise when determining the term of the borrowing. The Company’s lease agreements do not contain any material residual value guarantees or material restrictive covenants. The Company's weighted-average remaining lease term is approximately 8.7 years at June 30, 2025.</w:t>
      </w:r>
    </w:p>
    <w:p>
      <w:pPr>
        <w:spacing w:after="0" w:line="62" w:lineRule="exact"/>
        <w:rPr>
          <w:sz w:val="20"/>
          <w:szCs w:val="20"/>
          <w:color w:val="auto"/>
        </w:rPr>
      </w:pPr>
    </w:p>
    <w:p>
      <w:pPr>
        <w:jc w:val="both"/>
        <w:ind w:firstLine="241"/>
        <w:spacing w:after="0" w:line="225" w:lineRule="auto"/>
        <w:rPr>
          <w:sz w:val="20"/>
          <w:szCs w:val="20"/>
          <w:color w:val="auto"/>
        </w:rPr>
      </w:pPr>
      <w:r>
        <w:rPr>
          <w:rFonts w:ascii="Times New Roman" w:cs="Times New Roman" w:eastAsia="Times New Roman" w:hAnsi="Times New Roman"/>
          <w:sz w:val="18"/>
          <w:szCs w:val="18"/>
          <w:color w:val="auto"/>
        </w:rPr>
        <w:t xml:space="preserve">Under </w:t>
      </w:r>
      <w:r>
        <w:rPr>
          <w:rFonts w:ascii="Times New Roman" w:cs="Times New Roman" w:eastAsia="Times New Roman" w:hAnsi="Times New Roman"/>
          <w:sz w:val="18"/>
          <w:szCs w:val="18"/>
          <w:i w:val="1"/>
          <w:iCs w:val="1"/>
          <w:color w:val="auto"/>
        </w:rPr>
        <w:t>Topic 842, Leases</w:t>
      </w:r>
      <w:r>
        <w:rPr>
          <w:rFonts w:ascii="Times New Roman" w:cs="Times New Roman" w:eastAsia="Times New Roman" w:hAnsi="Times New Roman"/>
          <w:sz w:val="18"/>
          <w:szCs w:val="18"/>
          <w:color w:val="auto"/>
        </w:rPr>
        <w:t xml:space="preserve">, the Company continues to recognize the related leasing expense on a straight-line basis over the lease term on the Condensed Consolidated Statements of Income. The Company's total lease expense was $91 and $151 for three and six months ended June 30, 2025 (2024: $57 and $117) recognized within general and administrative expenses consistent with the prior accounting treatment under </w:t>
      </w:r>
      <w:r>
        <w:rPr>
          <w:rFonts w:ascii="Times New Roman" w:cs="Times New Roman" w:eastAsia="Times New Roman" w:hAnsi="Times New Roman"/>
          <w:sz w:val="18"/>
          <w:szCs w:val="18"/>
          <w:i w:val="1"/>
          <w:iCs w:val="1"/>
          <w:color w:val="auto"/>
        </w:rPr>
        <w:t>Topic 840.</w:t>
      </w:r>
    </w:p>
    <w:p>
      <w:pPr>
        <w:spacing w:after="0" w:line="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June 30, 2025, the scheduled maturity of the Company's operating lease liabilities are expected to be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5"/>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D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DFFCC"/>
          </w:tcPr>
          <w:p>
            <w:pPr>
              <w:spacing w:after="0"/>
              <w:rPr>
                <w:sz w:val="19"/>
                <w:szCs w:val="19"/>
                <w:color w:val="auto"/>
              </w:rPr>
            </w:pPr>
          </w:p>
        </w:tc>
        <w:tc>
          <w:tcPr>
            <w:tcW w:w="220" w:type="dxa"/>
            <w:vAlign w:val="bottom"/>
            <w:shd w:val="clear" w:color="auto" w:fill="CD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8"/>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8"/>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8"/>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8"/>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2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8"/>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28"/>
        </w:trPr>
        <w:tc>
          <w:tcPr>
            <w:tcW w:w="98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Discount for present value</w:t>
            </w:r>
          </w:p>
        </w:tc>
        <w:tc>
          <w:tcPr>
            <w:tcW w:w="220" w:type="dxa"/>
            <w:vAlign w:val="bottom"/>
            <w:tcBorders>
              <w:bottom w:val="single" w:sz="8" w:color="auto"/>
            </w:tcBorders>
            <w:shd w:val="clear" w:color="auto" w:fill="CDFFCC"/>
          </w:tcPr>
          <w:p>
            <w:pPr>
              <w:spacing w:after="0"/>
              <w:rPr>
                <w:sz w:val="19"/>
                <w:szCs w:val="19"/>
                <w:color w:val="auto"/>
              </w:rPr>
            </w:pPr>
          </w:p>
        </w:tc>
        <w:tc>
          <w:tcPr>
            <w:tcW w:w="12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21"/>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discounted operating lease liabilities</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ind w:right="6560" w:firstLine="7"/>
        <w:spacing w:after="0" w:line="336" w:lineRule="auto"/>
        <w:tabs>
          <w:tab w:leader="none" w:pos="25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(continued) </w:t>
      </w:r>
      <w:r>
        <w:rPr>
          <w:rFonts w:ascii="Times New Roman" w:cs="Times New Roman" w:eastAsia="Times New Roman" w:hAnsi="Times New Roman"/>
          <w:sz w:val="18"/>
          <w:szCs w:val="18"/>
          <w:b w:val="1"/>
          <w:bCs w:val="1"/>
          <w:i w:val="1"/>
          <w:iCs w:val="1"/>
          <w:color w:val="auto"/>
        </w:rPr>
        <w:t>d) Legal Proceedings</w:t>
      </w:r>
    </w:p>
    <w:p>
      <w:pPr>
        <w:spacing w:after="0" w:line="1"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Except as noted below, the Company is not a party to any material legal proceedings. From time to time, the Company is subject to routine legal proceedings, including arbitration, arising in the ordinary course of business. These legal proceedings generally relate to claims asserted by or against the Company in the ordinary course of insurance or reinsurance operations. Based on the Company's opinion, the eventual outcome of these legal proceedings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expected to have a material adverse effect on its financial condition or results of operations.</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putative class action complaint was filed against Maiden Holdings, Arturo M. Raschbaum, Karen L. Schmitt, and John M. Marshaleck in the United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States District Court for the District of New Jersey on February 11, 2019. On February 19, 2020, the Court appointed lead plaintiffs, and on May 1, 2020, lead plaintiffs filed an amended class action complaint (the “Amended Complaint”). The Amended Complaint asserts violations of Section 10(b) of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Exchange Act and Rule 10b-5 (and Section 20(a) for control person liability) arising in large part from allegations that Maiden failed to take adequate loss reserves in connection with reinsurance provided to AmTrust. Plaintiffs further claim that certain of Maiden Holdings’ representations concerning its</w:t>
      </w:r>
    </w:p>
    <w:p>
      <w:pPr>
        <w:spacing w:after="0" w:line="232" w:lineRule="auto"/>
        <w:rPr>
          <w:sz w:val="20"/>
          <w:szCs w:val="20"/>
          <w:color w:val="auto"/>
        </w:rPr>
      </w:pPr>
      <w:r>
        <w:rPr>
          <w:rFonts w:ascii="Times New Roman" w:cs="Times New Roman" w:eastAsia="Times New Roman" w:hAnsi="Times New Roman"/>
          <w:sz w:val="17"/>
          <w:szCs w:val="17"/>
          <w:color w:val="auto"/>
        </w:rPr>
        <w:t>business, underwriting and financial statements were rendered false by the allegedly inadequate loss reserves, that these misrepresentations inflated the price</w:t>
      </w:r>
    </w:p>
    <w:p>
      <w:pPr>
        <w:jc w:val="both"/>
        <w:spacing w:after="0" w:line="222" w:lineRule="auto"/>
        <w:rPr>
          <w:sz w:val="20"/>
          <w:szCs w:val="20"/>
          <w:color w:val="auto"/>
        </w:rPr>
      </w:pPr>
      <w:r>
        <w:rPr>
          <w:rFonts w:ascii="Times New Roman" w:cs="Times New Roman" w:eastAsia="Times New Roman" w:hAnsi="Times New Roman"/>
          <w:sz w:val="17"/>
          <w:szCs w:val="17"/>
          <w:color w:val="auto"/>
        </w:rPr>
        <w:t>of Maiden Holdings' common stock, and that when the truth about the misrepresentations was revealed, the Company’s stock price fell, causing Plaintiffs to incur losses. On September 11, 2020, a motion to dismiss was filed on behalf of all Defendants. On August 6, 2021, the Court issued an order denying, in</w:t>
      </w:r>
    </w:p>
    <w:p>
      <w:pPr>
        <w:jc w:val="both"/>
        <w:spacing w:after="0" w:line="224" w:lineRule="auto"/>
        <w:rPr>
          <w:sz w:val="20"/>
          <w:szCs w:val="20"/>
          <w:color w:val="auto"/>
        </w:rPr>
      </w:pPr>
      <w:r>
        <w:rPr>
          <w:rFonts w:ascii="Times New Roman" w:cs="Times New Roman" w:eastAsia="Times New Roman" w:hAnsi="Times New Roman"/>
          <w:sz w:val="18"/>
          <w:szCs w:val="18"/>
          <w:color w:val="auto"/>
        </w:rPr>
        <w:t>part, Defendants’ motion to dismiss, ordering Plaintiffs to file a shorter amended complaint no later than August 20, 2021, and permitting discovery to proceed on a limited basis.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February 7, 2023, the District Court denied Plaintiffs’ motion for reconsideration of the District Court’s decision denying Plaintiffs’ objection to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Magistrate Judge’s December 2021 ruling on discovery. On May 26, 2023, the Company filed a Renewed Motion to Dismiss the Second Amended Complaint or, in the Alternative, for Summary Judgment, which has been fully briefed. On December 19, 2023, the U.S. District Court for the District of</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New Jersey granted summary judgment on plaintiffs’ claim for securities fraud under Section 10(b) of the Securities Exchange Act to Maiden Holdings, Ltd. and individual defendants Arturo Raschbaum, Karen Schmitt, and John Marshaleck. The Court held that the factual record failed to support, as a matter of</w:t>
      </w:r>
    </w:p>
    <w:p>
      <w:pPr>
        <w:jc w:val="both"/>
        <w:spacing w:after="0" w:line="209" w:lineRule="auto"/>
        <w:rPr>
          <w:sz w:val="20"/>
          <w:szCs w:val="20"/>
          <w:color w:val="auto"/>
        </w:rPr>
      </w:pPr>
      <w:r>
        <w:rPr>
          <w:rFonts w:ascii="Times New Roman" w:cs="Times New Roman" w:eastAsia="Times New Roman" w:hAnsi="Times New Roman"/>
          <w:sz w:val="18"/>
          <w:szCs w:val="18"/>
          <w:color w:val="auto"/>
        </w:rPr>
        <w:t>law, plaintiffs’ allegations that the defendants had made false statements regarding the Company’s loss reserves. The Court also dismissed plaintiffs’ claims that the individual defendants were liable as control persons under Section 20(a) of the Securities Exchange Act for any such alleged false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Plaintiffs have appealed to the United States Court of Appeals for the Third Circuit.</w:t>
      </w:r>
    </w:p>
    <w:p>
      <w:pPr>
        <w:spacing w:after="0" w:line="68"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On December 26, 2024, WUSO Holding Corporation and 683 Capital Partners filed a lawsuit against Maiden Holdings North America, Ltd. and Maiden Holdings in the Supreme Court of the State of New York, County of New York, captioned WUSO Holding Corporation and 683 Capital Partners, LP v.</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Maiden Holdings North America, Ltd. and Maiden Holdings, Ltd., Index No. 659861/2024. The complaint alleges that Maiden’s sale of Maiden Reinsurance North America, Inc., which closed approximately six years ago from the date of the complaint, breached a sole provision of Maiden’s indenture</w:t>
      </w:r>
    </w:p>
    <w:p>
      <w:pPr>
        <w:spacing w:after="0" w:line="217" w:lineRule="auto"/>
        <w:rPr>
          <w:sz w:val="20"/>
          <w:szCs w:val="20"/>
          <w:color w:val="auto"/>
        </w:rPr>
      </w:pPr>
      <w:r>
        <w:rPr>
          <w:rFonts w:ascii="Times New Roman" w:cs="Times New Roman" w:eastAsia="Times New Roman" w:hAnsi="Times New Roman"/>
          <w:sz w:val="18"/>
          <w:szCs w:val="18"/>
          <w:color w:val="auto"/>
        </w:rPr>
        <w:t>governing its 2013 Senior Notes. Plaintiffs allege that principal and interest payable under the 2013 Senior Notes are due currently, rather than upon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stated maturity date of the 2013 Senior Notes. Maiden believes it has substantial procedural and substantive defenses to the asserted claims, and it intends to vigorously defend against these claims. On June 17, 2025, the Supreme Court of the State of New York, County of New York, considered and granted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Maiden’s motion to dismiss the complaint filed in this case. Plaintiffs may pursue an appeal of this decision and also stated that they would take steps to comply with the no-action clause requesting the indenture trustee to commence a related action. On August 6, 2025, plaintiffs filed a notice of appeal and</w:t>
      </w:r>
    </w:p>
    <w:p>
      <w:pPr>
        <w:spacing w:after="0" w:line="232" w:lineRule="auto"/>
        <w:rPr>
          <w:sz w:val="20"/>
          <w:szCs w:val="20"/>
          <w:color w:val="auto"/>
        </w:rPr>
      </w:pPr>
      <w:r>
        <w:rPr>
          <w:rFonts w:ascii="Times New Roman" w:cs="Times New Roman" w:eastAsia="Times New Roman" w:hAnsi="Times New Roman"/>
          <w:sz w:val="17"/>
          <w:szCs w:val="17"/>
          <w:color w:val="auto"/>
        </w:rPr>
        <w:t>have six months to perfect their appeal in the Appellate Division. To the extent that plaintiffs do perfect and pursue their appeal of this decision, Maiden will</w:t>
      </w:r>
    </w:p>
    <w:p>
      <w:pPr>
        <w:jc w:val="both"/>
        <w:spacing w:after="0" w:line="209" w:lineRule="auto"/>
        <w:rPr>
          <w:sz w:val="20"/>
          <w:szCs w:val="20"/>
          <w:color w:val="auto"/>
        </w:rPr>
      </w:pPr>
      <w:r>
        <w:rPr>
          <w:rFonts w:ascii="Times New Roman" w:cs="Times New Roman" w:eastAsia="Times New Roman" w:hAnsi="Times New Roman"/>
          <w:sz w:val="18"/>
          <w:szCs w:val="18"/>
          <w:color w:val="auto"/>
        </w:rPr>
        <w:t>oppose any such action. In addition to filing the notice of appeal, on August 12, 2025, plaintiffs filed a separate complaint against Maiden in the Supreme Court of the State of New York, County of New York, as opposed to filing an amended complaint in the existing action. In the new complaint, plaintiffs</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allege that they have standing and authorization to bring suit, contending that they satisfied the no-action clause in the indenture because, on June 10, 2025, they requested, on behalf of holders of at least 25% of the outstanding 2013 Senior Notes, that the indenture trustee commence a related action, accompanied</w:t>
      </w:r>
    </w:p>
    <w:p>
      <w:pPr>
        <w:jc w:val="both"/>
        <w:spacing w:after="0" w:line="232" w:lineRule="auto"/>
        <w:rPr>
          <w:sz w:val="20"/>
          <w:szCs w:val="20"/>
          <w:color w:val="auto"/>
        </w:rPr>
      </w:pPr>
      <w:r>
        <w:rPr>
          <w:rFonts w:ascii="Times New Roman" w:cs="Times New Roman" w:eastAsia="Times New Roman" w:hAnsi="Times New Roman"/>
          <w:sz w:val="18"/>
          <w:szCs w:val="18"/>
          <w:color w:val="auto"/>
        </w:rPr>
        <w:t>by an offer to indemnify, and the indenture trustee did not institute such proceedings within 60 days of the request. Maiden believes it has substantial procedural and substantive defenses to the asserted claims, and it intends to vigorously defend against these claims.</w:t>
      </w:r>
    </w:p>
    <w:p>
      <w:pPr>
        <w:spacing w:after="0" w:line="4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We believe all of the above claims are without merit and we intend to vigorously defend ourselves. It is possible that additional lawsuits will be filed against the Company, its subsidiaries and its respective officers due to the diminution in value of our securities as a result of our operating results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It is currently uncertain as to the effect of such litigation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shows a summary of the elements used in calculating basic and diluted earnings per common share for the three and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 respectively: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272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080" w:type="dxa"/>
            <w:vAlign w:val="bottom"/>
            <w:tcBorders>
              <w:bottom w:val="single" w:sz="8" w:color="auto"/>
            </w:tcBorders>
          </w:tcPr>
          <w:p>
            <w:pPr>
              <w:spacing w:after="0"/>
              <w:rPr>
                <w:sz w:val="16"/>
                <w:szCs w:val="16"/>
                <w:color w:val="auto"/>
              </w:rPr>
            </w:pPr>
          </w:p>
        </w:tc>
        <w:tc>
          <w:tcPr>
            <w:tcW w:w="100" w:type="dxa"/>
            <w:vAlign w:val="bottom"/>
            <w:tcBorders>
              <w:bottom w:val="single" w:sz="8" w:color="CD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DFFC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D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D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508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100" w:type="dxa"/>
            <w:vAlign w:val="bottom"/>
            <w:shd w:val="clear" w:color="auto" w:fill="CDFFCC"/>
          </w:tcPr>
          <w:p>
            <w:pPr>
              <w:spacing w:after="0"/>
              <w:rPr>
                <w:sz w:val="19"/>
                <w:szCs w:val="19"/>
                <w:color w:val="auto"/>
              </w:rPr>
            </w:pPr>
          </w:p>
        </w:tc>
        <w:tc>
          <w:tcPr>
            <w:tcW w:w="220" w:type="dxa"/>
            <w:vAlign w:val="bottom"/>
            <w:shd w:val="clear" w:color="auto" w:fill="CDFFCC"/>
          </w:tcPr>
          <w:p>
            <w:pPr>
              <w:spacing w:after="0"/>
              <w:rPr>
                <w:sz w:val="19"/>
                <w:szCs w:val="19"/>
                <w:color w:val="auto"/>
              </w:rPr>
            </w:pPr>
          </w:p>
        </w:tc>
        <w:tc>
          <w:tcPr>
            <w:tcW w:w="12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60" w:type="dxa"/>
            <w:vAlign w:val="bottom"/>
            <w:shd w:val="clear" w:color="auto" w:fill="CDFFCC"/>
          </w:tcPr>
          <w:p>
            <w:pPr>
              <w:spacing w:after="0"/>
              <w:rPr>
                <w:sz w:val="19"/>
                <w:szCs w:val="19"/>
                <w:color w:val="auto"/>
              </w:rPr>
            </w:pPr>
          </w:p>
        </w:tc>
        <w:tc>
          <w:tcPr>
            <w:tcW w:w="11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518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Amount allocated to participating common shareholders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DFFCC"/>
          </w:tcPr>
          <w:p>
            <w:pPr>
              <w:spacing w:after="0"/>
              <w:rPr>
                <w:sz w:val="19"/>
                <w:szCs w:val="19"/>
                <w:color w:val="auto"/>
              </w:rPr>
            </w:pPr>
          </w:p>
        </w:tc>
        <w:tc>
          <w:tcPr>
            <w:tcW w:w="1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DFFCC"/>
          </w:tcPr>
          <w:p>
            <w:pPr>
              <w:spacing w:after="0"/>
              <w:rPr>
                <w:sz w:val="19"/>
                <w:szCs w:val="19"/>
                <w:color w:val="auto"/>
              </w:rPr>
            </w:pPr>
          </w:p>
        </w:tc>
        <w:tc>
          <w:tcPr>
            <w:tcW w:w="1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51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available to Kestrel common shareholders before</w:t>
            </w: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518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20" w:type="dxa"/>
            <w:vAlign w:val="bottom"/>
            <w:shd w:val="clear" w:color="auto" w:fill="CDFFCC"/>
          </w:tcPr>
          <w:p>
            <w:pPr>
              <w:spacing w:after="0"/>
              <w:rPr>
                <w:sz w:val="19"/>
                <w:szCs w:val="19"/>
                <w:color w:val="auto"/>
              </w:rPr>
            </w:pPr>
          </w:p>
        </w:tc>
        <w:tc>
          <w:tcPr>
            <w:tcW w:w="1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2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DFFCC"/>
          </w:tcPr>
          <w:p>
            <w:pPr>
              <w:spacing w:after="0"/>
              <w:rPr>
                <w:sz w:val="19"/>
                <w:szCs w:val="19"/>
                <w:color w:val="auto"/>
              </w:rPr>
            </w:pPr>
          </w:p>
        </w:tc>
        <w:tc>
          <w:tcPr>
            <w:tcW w:w="1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51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Amount of loss from discontinued operations allocated to</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8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8"/>
                <w:szCs w:val="18"/>
                <w:color w:val="auto"/>
              </w:rPr>
              <w:t>participating common shareholders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180" w:type="dxa"/>
            <w:vAlign w:val="bottom"/>
            <w:tcBorders>
              <w:top w:val="single" w:sz="8" w:color="CDFFCC"/>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income attributable to Kestrel common shareholders</w:t>
            </w:r>
          </w:p>
        </w:tc>
        <w:tc>
          <w:tcPr>
            <w:tcW w:w="220" w:type="dxa"/>
            <w:vAlign w:val="bottom"/>
            <w:tcBorders>
              <w:top w:val="single" w:sz="8" w:color="auto"/>
              <w:bottom w:val="single" w:sz="8" w:color="auto"/>
            </w:tcBorders>
            <w:shd w:val="clear" w:color="auto" w:fill="CD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69,742</w:t>
            </w:r>
          </w:p>
        </w:tc>
        <w:tc>
          <w:tcPr>
            <w:tcW w:w="100" w:type="dxa"/>
            <w:vAlign w:val="bottom"/>
            <w:tcBorders>
              <w:top w:val="single" w:sz="8" w:color="CDFFCC"/>
              <w:bottom w:val="single" w:sz="8" w:color="CDFFCC"/>
            </w:tcBorders>
            <w:shd w:val="clear" w:color="auto" w:fill="CDFFCC"/>
          </w:tcPr>
          <w:p>
            <w:pPr>
              <w:spacing w:after="0"/>
              <w:rPr>
                <w:sz w:val="20"/>
                <w:szCs w:val="20"/>
                <w:color w:val="auto"/>
              </w:rPr>
            </w:pPr>
          </w:p>
        </w:tc>
        <w:tc>
          <w:tcPr>
            <w:tcW w:w="360" w:type="dxa"/>
            <w:vAlign w:val="bottom"/>
            <w:tcBorders>
              <w:top w:val="single" w:sz="8" w:color="auto"/>
              <w:bottom w:val="single" w:sz="8" w:color="auto"/>
            </w:tcBorders>
            <w:shd w:val="clear" w:color="auto" w:fill="CDFFC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top w:val="single" w:sz="8" w:color="CDFFCC"/>
              <w:bottom w:val="single" w:sz="8" w:color="CDFFCC"/>
            </w:tcBorders>
            <w:shd w:val="clear" w:color="auto" w:fill="CDFFCC"/>
          </w:tcPr>
          <w:p>
            <w:pPr>
              <w:spacing w:after="0"/>
              <w:rPr>
                <w:sz w:val="20"/>
                <w:szCs w:val="20"/>
                <w:color w:val="auto"/>
              </w:rPr>
            </w:pPr>
          </w:p>
        </w:tc>
        <w:tc>
          <w:tcPr>
            <w:tcW w:w="260" w:type="dxa"/>
            <w:vAlign w:val="bottom"/>
            <w:tcBorders>
              <w:top w:val="single" w:sz="8" w:color="auto"/>
              <w:bottom w:val="single" w:sz="8" w:color="auto"/>
            </w:tcBorders>
            <w:shd w:val="clear" w:color="auto" w:fill="CD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69,418</w:t>
            </w:r>
          </w:p>
        </w:tc>
        <w:tc>
          <w:tcPr>
            <w:tcW w:w="100" w:type="dxa"/>
            <w:vAlign w:val="bottom"/>
            <w:tcBorders>
              <w:top w:val="single" w:sz="8" w:color="CDFFCC"/>
              <w:bottom w:val="single" w:sz="8" w:color="CDFFCC"/>
            </w:tcBorders>
            <w:shd w:val="clear" w:color="auto" w:fill="CDFFCC"/>
          </w:tcPr>
          <w:p>
            <w:pPr>
              <w:spacing w:after="0"/>
              <w:rPr>
                <w:sz w:val="20"/>
                <w:szCs w:val="20"/>
                <w:color w:val="auto"/>
              </w:rPr>
            </w:pPr>
          </w:p>
        </w:tc>
        <w:tc>
          <w:tcPr>
            <w:tcW w:w="340" w:type="dxa"/>
            <w:vAlign w:val="bottom"/>
            <w:tcBorders>
              <w:top w:val="single" w:sz="8" w:color="auto"/>
              <w:bottom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0"/>
        </w:trPr>
        <w:tc>
          <w:tcPr>
            <w:tcW w:w="5080" w:type="dxa"/>
            <w:vAlign w:val="bottom"/>
            <w:tcBorders>
              <w:top w:val="single" w:sz="8" w:color="CDFFCC"/>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20" w:type="dxa"/>
            <w:vAlign w:val="bottom"/>
            <w:tcBorders>
              <w:top w:val="single" w:sz="8" w:color="CDFFCC"/>
              <w:bottom w:val="single" w:sz="8" w:color="auto"/>
            </w:tcBorders>
          </w:tcPr>
          <w:p>
            <w:pPr>
              <w:spacing w:after="0" w:line="20" w:lineRule="exact"/>
              <w:rPr>
                <w:sz w:val="1"/>
                <w:szCs w:val="1"/>
                <w:color w:val="auto"/>
              </w:rPr>
            </w:pPr>
          </w:p>
        </w:tc>
        <w:tc>
          <w:tcPr>
            <w:tcW w:w="12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6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260" w:type="dxa"/>
            <w:vAlign w:val="bottom"/>
            <w:tcBorders>
              <w:top w:val="single" w:sz="8" w:color="CDFFCC"/>
              <w:bottom w:val="single" w:sz="8" w:color="auto"/>
            </w:tcBorders>
          </w:tcPr>
          <w:p>
            <w:pPr>
              <w:spacing w:after="0" w:line="20" w:lineRule="exact"/>
              <w:rPr>
                <w:sz w:val="1"/>
                <w:szCs w:val="1"/>
                <w:color w:val="auto"/>
              </w:rPr>
            </w:pPr>
          </w:p>
        </w:tc>
        <w:tc>
          <w:tcPr>
            <w:tcW w:w="118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18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220" w:type="dxa"/>
            <w:vAlign w:val="bottom"/>
            <w:shd w:val="clear" w:color="auto" w:fill="CDFFCC"/>
          </w:tcPr>
          <w:p>
            <w:pPr>
              <w:spacing w:after="0"/>
              <w:rPr>
                <w:sz w:val="19"/>
                <w:szCs w:val="19"/>
                <w:color w:val="auto"/>
              </w:rPr>
            </w:pPr>
          </w:p>
        </w:tc>
        <w:tc>
          <w:tcPr>
            <w:tcW w:w="12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spacing w:after="0"/>
              <w:rPr>
                <w:sz w:val="19"/>
                <w:szCs w:val="19"/>
                <w:color w:val="auto"/>
              </w:rPr>
            </w:pPr>
          </w:p>
        </w:tc>
        <w:tc>
          <w:tcPr>
            <w:tcW w:w="110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260" w:type="dxa"/>
            <w:vAlign w:val="bottom"/>
            <w:shd w:val="clear" w:color="auto" w:fill="CDFFCC"/>
          </w:tcPr>
          <w:p>
            <w:pPr>
              <w:spacing w:after="0"/>
              <w:rPr>
                <w:sz w:val="19"/>
                <w:szCs w:val="19"/>
                <w:color w:val="auto"/>
              </w:rPr>
            </w:pPr>
          </w:p>
        </w:tc>
        <w:tc>
          <w:tcPr>
            <w:tcW w:w="1180" w:type="dxa"/>
            <w:vAlign w:val="bottom"/>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1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 basic and</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8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8"/>
                <w:szCs w:val="18"/>
                <w:b w:val="1"/>
                <w:bCs w:val="1"/>
                <w:color w:val="auto"/>
              </w:rPr>
              <w:t>diluted</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4,635,406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2,749,996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3,692,701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2,749,996</w:t>
            </w:r>
          </w:p>
        </w:tc>
        <w:tc>
          <w:tcPr>
            <w:tcW w:w="0" w:type="dxa"/>
            <w:vAlign w:val="bottom"/>
          </w:tcPr>
          <w:p>
            <w:pPr>
              <w:spacing w:after="0"/>
              <w:rPr>
                <w:sz w:val="1"/>
                <w:szCs w:val="1"/>
                <w:color w:val="auto"/>
              </w:rPr>
            </w:pPr>
          </w:p>
        </w:tc>
      </w:tr>
      <w:tr>
        <w:trPr>
          <w:trHeight w:val="268"/>
        </w:trPr>
        <w:tc>
          <w:tcPr>
            <w:tcW w:w="5080" w:type="dxa"/>
            <w:vAlign w:val="bottom"/>
            <w:shd w:val="clear" w:color="auto" w:fill="CDFFCC"/>
          </w:tcPr>
          <w:p>
            <w:pPr>
              <w:spacing w:after="0"/>
              <w:rPr>
                <w:sz w:val="23"/>
                <w:szCs w:val="23"/>
                <w:color w:val="auto"/>
              </w:rPr>
            </w:pPr>
          </w:p>
        </w:tc>
        <w:tc>
          <w:tcPr>
            <w:tcW w:w="100" w:type="dxa"/>
            <w:vAlign w:val="bottom"/>
            <w:shd w:val="clear" w:color="auto" w:fill="CDFFCC"/>
          </w:tcPr>
          <w:p>
            <w:pPr>
              <w:spacing w:after="0"/>
              <w:rPr>
                <w:sz w:val="23"/>
                <w:szCs w:val="23"/>
                <w:color w:val="auto"/>
              </w:rPr>
            </w:pPr>
          </w:p>
        </w:tc>
        <w:tc>
          <w:tcPr>
            <w:tcW w:w="220" w:type="dxa"/>
            <w:vAlign w:val="bottom"/>
            <w:shd w:val="clear" w:color="auto" w:fill="CDFFCC"/>
          </w:tcPr>
          <w:p>
            <w:pPr>
              <w:spacing w:after="0"/>
              <w:rPr>
                <w:sz w:val="23"/>
                <w:szCs w:val="23"/>
                <w:color w:val="auto"/>
              </w:rPr>
            </w:pPr>
          </w:p>
        </w:tc>
        <w:tc>
          <w:tcPr>
            <w:tcW w:w="1200" w:type="dxa"/>
            <w:vAlign w:val="bottom"/>
            <w:shd w:val="clear" w:color="auto" w:fill="CDFFCC"/>
          </w:tcPr>
          <w:p>
            <w:pPr>
              <w:spacing w:after="0"/>
              <w:rPr>
                <w:sz w:val="23"/>
                <w:szCs w:val="23"/>
                <w:color w:val="auto"/>
              </w:rPr>
            </w:pPr>
          </w:p>
        </w:tc>
        <w:tc>
          <w:tcPr>
            <w:tcW w:w="100" w:type="dxa"/>
            <w:vAlign w:val="bottom"/>
            <w:shd w:val="clear" w:color="auto" w:fill="CDFFCC"/>
          </w:tcPr>
          <w:p>
            <w:pPr>
              <w:spacing w:after="0"/>
              <w:rPr>
                <w:sz w:val="23"/>
                <w:szCs w:val="23"/>
                <w:color w:val="auto"/>
              </w:rPr>
            </w:pPr>
          </w:p>
        </w:tc>
        <w:tc>
          <w:tcPr>
            <w:tcW w:w="360" w:type="dxa"/>
            <w:vAlign w:val="bottom"/>
            <w:shd w:val="clear" w:color="auto" w:fill="CDFFCC"/>
          </w:tcPr>
          <w:p>
            <w:pPr>
              <w:spacing w:after="0"/>
              <w:rPr>
                <w:sz w:val="23"/>
                <w:szCs w:val="23"/>
                <w:color w:val="auto"/>
              </w:rPr>
            </w:pPr>
          </w:p>
        </w:tc>
        <w:tc>
          <w:tcPr>
            <w:tcW w:w="1100" w:type="dxa"/>
            <w:vAlign w:val="bottom"/>
            <w:shd w:val="clear" w:color="auto" w:fill="CDFFCC"/>
          </w:tcPr>
          <w:p>
            <w:pPr>
              <w:spacing w:after="0"/>
              <w:rPr>
                <w:sz w:val="23"/>
                <w:szCs w:val="23"/>
                <w:color w:val="auto"/>
              </w:rPr>
            </w:pPr>
          </w:p>
        </w:tc>
        <w:tc>
          <w:tcPr>
            <w:tcW w:w="100" w:type="dxa"/>
            <w:vAlign w:val="bottom"/>
            <w:shd w:val="clear" w:color="auto" w:fill="CDFFCC"/>
          </w:tcPr>
          <w:p>
            <w:pPr>
              <w:spacing w:after="0"/>
              <w:rPr>
                <w:sz w:val="23"/>
                <w:szCs w:val="23"/>
                <w:color w:val="auto"/>
              </w:rPr>
            </w:pPr>
          </w:p>
        </w:tc>
        <w:tc>
          <w:tcPr>
            <w:tcW w:w="260" w:type="dxa"/>
            <w:vAlign w:val="bottom"/>
            <w:shd w:val="clear" w:color="auto" w:fill="CDFFCC"/>
          </w:tcPr>
          <w:p>
            <w:pPr>
              <w:spacing w:after="0"/>
              <w:rPr>
                <w:sz w:val="23"/>
                <w:szCs w:val="23"/>
                <w:color w:val="auto"/>
              </w:rPr>
            </w:pPr>
          </w:p>
        </w:tc>
        <w:tc>
          <w:tcPr>
            <w:tcW w:w="1180" w:type="dxa"/>
            <w:vAlign w:val="bottom"/>
            <w:shd w:val="clear" w:color="auto" w:fill="CDFFCC"/>
          </w:tcPr>
          <w:p>
            <w:pPr>
              <w:spacing w:after="0"/>
              <w:rPr>
                <w:sz w:val="23"/>
                <w:szCs w:val="23"/>
                <w:color w:val="auto"/>
              </w:rPr>
            </w:pPr>
          </w:p>
        </w:tc>
        <w:tc>
          <w:tcPr>
            <w:tcW w:w="100" w:type="dxa"/>
            <w:vAlign w:val="bottom"/>
            <w:shd w:val="clear" w:color="auto" w:fill="CDFFCC"/>
          </w:tcPr>
          <w:p>
            <w:pPr>
              <w:spacing w:after="0"/>
              <w:rPr>
                <w:sz w:val="23"/>
                <w:szCs w:val="23"/>
                <w:color w:val="auto"/>
              </w:rPr>
            </w:pPr>
          </w:p>
        </w:tc>
        <w:tc>
          <w:tcPr>
            <w:tcW w:w="340" w:type="dxa"/>
            <w:vAlign w:val="bottom"/>
            <w:shd w:val="clear" w:color="auto" w:fill="CDFFCC"/>
          </w:tcPr>
          <w:p>
            <w:pPr>
              <w:spacing w:after="0"/>
              <w:rPr>
                <w:sz w:val="23"/>
                <w:szCs w:val="23"/>
                <w:color w:val="auto"/>
              </w:rPr>
            </w:pPr>
          </w:p>
        </w:tc>
        <w:tc>
          <w:tcPr>
            <w:tcW w:w="1100" w:type="dxa"/>
            <w:vAlign w:val="bottom"/>
            <w:shd w:val="clear" w:color="auto" w:fill="CDFFCC"/>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51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Basic and diluted earnings from continuing operations per share</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attributable to Kestrel shareholders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174"/>
        </w:trPr>
        <w:tc>
          <w:tcPr>
            <w:tcW w:w="5180" w:type="dxa"/>
            <w:vAlign w:val="bottom"/>
            <w:gridSpan w:val="2"/>
            <w:shd w:val="clear" w:color="auto" w:fill="CDFFCC"/>
          </w:tcPr>
          <w:p>
            <w:pPr>
              <w:ind w:left="20"/>
              <w:spacing w:after="0" w:line="175" w:lineRule="exact"/>
              <w:rPr>
                <w:sz w:val="20"/>
                <w:szCs w:val="20"/>
                <w:color w:val="auto"/>
              </w:rPr>
            </w:pPr>
            <w:r>
              <w:rPr>
                <w:rFonts w:ascii="Times New Roman" w:cs="Times New Roman" w:eastAsia="Times New Roman" w:hAnsi="Times New Roman"/>
                <w:sz w:val="18"/>
                <w:szCs w:val="18"/>
                <w:color w:val="auto"/>
              </w:rPr>
              <w:t>Basic and diluted loss from discontinued operations per share</w:t>
            </w:r>
          </w:p>
        </w:tc>
        <w:tc>
          <w:tcPr>
            <w:tcW w:w="220" w:type="dxa"/>
            <w:vAlign w:val="bottom"/>
            <w:shd w:val="clear" w:color="auto" w:fill="CDFFCC"/>
          </w:tcPr>
          <w:p>
            <w:pPr>
              <w:spacing w:after="0"/>
              <w:rPr>
                <w:sz w:val="15"/>
                <w:szCs w:val="15"/>
                <w:color w:val="auto"/>
              </w:rPr>
            </w:pPr>
          </w:p>
        </w:tc>
        <w:tc>
          <w:tcPr>
            <w:tcW w:w="1200" w:type="dxa"/>
            <w:vAlign w:val="bottom"/>
            <w:shd w:val="clear" w:color="auto" w:fill="CDFFCC"/>
          </w:tcPr>
          <w:p>
            <w:pPr>
              <w:spacing w:after="0"/>
              <w:rPr>
                <w:sz w:val="15"/>
                <w:szCs w:val="15"/>
                <w:color w:val="auto"/>
              </w:rPr>
            </w:pPr>
          </w:p>
        </w:tc>
        <w:tc>
          <w:tcPr>
            <w:tcW w:w="100" w:type="dxa"/>
            <w:vAlign w:val="bottom"/>
            <w:shd w:val="clear" w:color="auto" w:fill="CDFFCC"/>
          </w:tcPr>
          <w:p>
            <w:pPr>
              <w:spacing w:after="0"/>
              <w:rPr>
                <w:sz w:val="15"/>
                <w:szCs w:val="15"/>
                <w:color w:val="auto"/>
              </w:rPr>
            </w:pPr>
          </w:p>
        </w:tc>
        <w:tc>
          <w:tcPr>
            <w:tcW w:w="360" w:type="dxa"/>
            <w:vAlign w:val="bottom"/>
            <w:shd w:val="clear" w:color="auto" w:fill="CDFFCC"/>
          </w:tcPr>
          <w:p>
            <w:pPr>
              <w:spacing w:after="0"/>
              <w:rPr>
                <w:sz w:val="15"/>
                <w:szCs w:val="15"/>
                <w:color w:val="auto"/>
              </w:rPr>
            </w:pPr>
          </w:p>
        </w:tc>
        <w:tc>
          <w:tcPr>
            <w:tcW w:w="1100" w:type="dxa"/>
            <w:vAlign w:val="bottom"/>
            <w:shd w:val="clear" w:color="auto" w:fill="CDFFCC"/>
          </w:tcPr>
          <w:p>
            <w:pPr>
              <w:spacing w:after="0"/>
              <w:rPr>
                <w:sz w:val="15"/>
                <w:szCs w:val="15"/>
                <w:color w:val="auto"/>
              </w:rPr>
            </w:pPr>
          </w:p>
        </w:tc>
        <w:tc>
          <w:tcPr>
            <w:tcW w:w="100" w:type="dxa"/>
            <w:vAlign w:val="bottom"/>
            <w:shd w:val="clear" w:color="auto" w:fill="CDFFCC"/>
          </w:tcPr>
          <w:p>
            <w:pPr>
              <w:spacing w:after="0"/>
              <w:rPr>
                <w:sz w:val="15"/>
                <w:szCs w:val="15"/>
                <w:color w:val="auto"/>
              </w:rPr>
            </w:pPr>
          </w:p>
        </w:tc>
        <w:tc>
          <w:tcPr>
            <w:tcW w:w="260" w:type="dxa"/>
            <w:vAlign w:val="bottom"/>
            <w:shd w:val="clear" w:color="auto" w:fill="CDFFCC"/>
          </w:tcPr>
          <w:p>
            <w:pPr>
              <w:spacing w:after="0"/>
              <w:rPr>
                <w:sz w:val="15"/>
                <w:szCs w:val="15"/>
                <w:color w:val="auto"/>
              </w:rPr>
            </w:pPr>
          </w:p>
        </w:tc>
        <w:tc>
          <w:tcPr>
            <w:tcW w:w="1180" w:type="dxa"/>
            <w:vAlign w:val="bottom"/>
            <w:shd w:val="clear" w:color="auto" w:fill="CDFFCC"/>
          </w:tcPr>
          <w:p>
            <w:pPr>
              <w:spacing w:after="0"/>
              <w:rPr>
                <w:sz w:val="15"/>
                <w:szCs w:val="15"/>
                <w:color w:val="auto"/>
              </w:rPr>
            </w:pPr>
          </w:p>
        </w:tc>
        <w:tc>
          <w:tcPr>
            <w:tcW w:w="100" w:type="dxa"/>
            <w:vAlign w:val="bottom"/>
            <w:shd w:val="clear" w:color="auto" w:fill="CDFFCC"/>
          </w:tcPr>
          <w:p>
            <w:pPr>
              <w:spacing w:after="0"/>
              <w:rPr>
                <w:sz w:val="15"/>
                <w:szCs w:val="15"/>
                <w:color w:val="auto"/>
              </w:rPr>
            </w:pPr>
          </w:p>
        </w:tc>
        <w:tc>
          <w:tcPr>
            <w:tcW w:w="340" w:type="dxa"/>
            <w:vAlign w:val="bottom"/>
            <w:shd w:val="clear" w:color="auto" w:fill="CDFFCC"/>
          </w:tcPr>
          <w:p>
            <w:pPr>
              <w:spacing w:after="0"/>
              <w:rPr>
                <w:sz w:val="15"/>
                <w:szCs w:val="15"/>
                <w:color w:val="auto"/>
              </w:rPr>
            </w:pPr>
          </w:p>
        </w:tc>
        <w:tc>
          <w:tcPr>
            <w:tcW w:w="1100" w:type="dxa"/>
            <w:vAlign w:val="bottom"/>
            <w:shd w:val="clear" w:color="auto" w:fill="CDFFC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8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attributable to Kestrel shareholders</w:t>
            </w:r>
          </w:p>
        </w:tc>
        <w:tc>
          <w:tcPr>
            <w:tcW w:w="220" w:type="dxa"/>
            <w:vAlign w:val="bottom"/>
            <w:shd w:val="clear" w:color="auto" w:fill="CDFFCC"/>
          </w:tcPr>
          <w:p>
            <w:pPr>
              <w:spacing w:after="0"/>
              <w:rPr>
                <w:sz w:val="20"/>
                <w:szCs w:val="20"/>
                <w:color w:val="auto"/>
              </w:rPr>
            </w:pPr>
          </w:p>
        </w:tc>
        <w:tc>
          <w:tcPr>
            <w:tcW w:w="1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DFFCC"/>
          </w:tcPr>
          <w:p>
            <w:pPr>
              <w:spacing w:after="0"/>
              <w:rPr>
                <w:sz w:val="20"/>
                <w:szCs w:val="20"/>
                <w:color w:val="auto"/>
              </w:rPr>
            </w:pPr>
          </w:p>
        </w:tc>
        <w:tc>
          <w:tcPr>
            <w:tcW w:w="360" w:type="dxa"/>
            <w:vAlign w:val="bottom"/>
            <w:shd w:val="clear" w:color="auto" w:fill="CDFFCC"/>
          </w:tcPr>
          <w:p>
            <w:pPr>
              <w:spacing w:after="0"/>
              <w:rPr>
                <w:sz w:val="20"/>
                <w:szCs w:val="20"/>
                <w:color w:val="auto"/>
              </w:rPr>
            </w:pPr>
          </w:p>
        </w:tc>
        <w:tc>
          <w:tcPr>
            <w:tcW w:w="1200" w:type="dxa"/>
            <w:vAlign w:val="bottom"/>
            <w:gridSpan w:val="2"/>
            <w:shd w:val="clear" w:color="auto" w:fill="CD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DFFCC"/>
          </w:tcPr>
          <w:p>
            <w:pPr>
              <w:spacing w:after="0"/>
              <w:rPr>
                <w:sz w:val="20"/>
                <w:szCs w:val="20"/>
                <w:color w:val="auto"/>
              </w:rPr>
            </w:pPr>
          </w:p>
        </w:tc>
        <w:tc>
          <w:tcPr>
            <w:tcW w:w="1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DFFCC"/>
          </w:tcPr>
          <w:p>
            <w:pPr>
              <w:spacing w:after="0"/>
              <w:rPr>
                <w:sz w:val="20"/>
                <w:szCs w:val="20"/>
                <w:color w:val="auto"/>
              </w:rPr>
            </w:pPr>
          </w:p>
        </w:tc>
        <w:tc>
          <w:tcPr>
            <w:tcW w:w="340" w:type="dxa"/>
            <w:vAlign w:val="bottom"/>
            <w:shd w:val="clear" w:color="auto" w:fill="CDFFCC"/>
          </w:tcPr>
          <w:p>
            <w:pPr>
              <w:spacing w:after="0"/>
              <w:rPr>
                <w:sz w:val="20"/>
                <w:szCs w:val="20"/>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4"/>
        </w:trPr>
        <w:tc>
          <w:tcPr>
            <w:tcW w:w="518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Basic and diluted earnings per share attributable to Kestrel</w:t>
            </w:r>
          </w:p>
        </w:tc>
        <w:tc>
          <w:tcPr>
            <w:tcW w:w="2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380" w:hanging="373"/>
        <w:spacing w:after="0"/>
        <w:tabs>
          <w:tab w:leader="none" w:pos="380" w:val="left"/>
        </w:tabs>
        <w:numPr>
          <w:ilvl w:val="0"/>
          <w:numId w:val="31"/>
        </w:numPr>
        <w:rPr>
          <w:rFonts w:ascii="Arial" w:cs="Arial" w:eastAsia="Arial" w:hAnsi="Arial"/>
          <w:sz w:val="14"/>
          <w:szCs w:val="14"/>
          <w:color w:val="auto"/>
        </w:rPr>
      </w:pPr>
      <w:r>
        <w:rPr>
          <w:rFonts w:ascii="Times New Roman" w:cs="Times New Roman" w:eastAsia="Times New Roman" w:hAnsi="Times New Roman"/>
          <w:sz w:val="14"/>
          <w:szCs w:val="14"/>
          <w:color w:val="auto"/>
        </w:rPr>
        <w:t>There were no potentially dilutive securities for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92"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The Company recognized income tax expense of $3 and $95 for the three and six months ended June 30, 2025 compared to $0 for the same respective periods in 2024 . The effective tax rate on the Company's net income differs from the statutory rate of zero percent under Bermuda law due to tax on foreign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primarily the U.S.</w:t>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 valuation allowance has been established against the net U.S. and International deferred tax assets which is primarily attributable to net operating</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losses in the respective regions. At this time, the Company believes it is necessary to establish a valuation allowance against the U.S. and International net deferred tax assets as more evidence is needed regarding the utilization of these losses.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June 30, 2025, the Company has available net operating loss carry-forwards of $454,825 (December 31, 2024: $358) for income tax purposes.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Approximately $374,241 (December 31, 2024: $0) of net operating loss ("NOL") carryforwards expire in various years beginning in 2029. As of June 30, 2025, approximately $80,584 or 17.7% of the Company's NOL carryforwards have no expiry date under the relevant U.S. tax law (December 31, 2024 - $358 or 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Assets Held for Sale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Swedish Subsidiaries and Related IIS Operations</w:t>
      </w:r>
    </w:p>
    <w:p>
      <w:pPr>
        <w:spacing w:after="0" w:line="77"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1. Basis of Presentation"</w:t>
      </w:r>
      <w:r>
        <w:rPr>
          <w:rFonts w:ascii="Times New Roman" w:cs="Times New Roman" w:eastAsia="Times New Roman" w:hAnsi="Times New Roman"/>
          <w:sz w:val="17"/>
          <w:szCs w:val="17"/>
          <w:color w:val="auto"/>
        </w:rPr>
        <w:t>, on November 29, 2024, Maiden entered into an agreement to sell its Swedish subsidiaries, Maiden LF and Maiden GF to a group of international insurance and reinsurance companies headquartered in the United Kingdom. Maiden GF and Maiden LF were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principal operating subsidiaries of the Company’s International Insurance Services (“IIS”) platform. The transaction was subject to customary regulatory approvals. In June 2025, the Swedish Financial Supervisory Authority (“SFSA”) declined to approve the sale of Maiden GF and Maiden LF. The proposed acquirer, whose application was denied by the SFSA, has subsequently indicated its intent to proceed with the acquisition of only Maiden GF at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previously agreed valuation and believes it will satisfactorily address the deficiencies identified by the SFSA in its June 2025 decision. Maiden and the proposed acquirer are currently in the process of finalizing the terms of an amended sale agreement and this transaction is subject to customary regulatory approvals. The sale will continue to be an all-cash transaction and pursuant to the proposed terms of the agreement, certain existing staff of Maiden GF will</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transition to the proposed acquirer. In the wake of the decision of the SFSA, management continues to evaluate strategic alternatives for that business, including a possible sale to a different third-party or a possible run-off and liquidation of the entity. Maiden LF and Maiden GF are not writing any new business and their non-insurance related assets and liabilities are represented as held-for-sale in our condensed consolidated financial statements.</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Pursuant to the terms of the Proposed Swedish Subsidiaries Sale agreement, it is presently intended that any remaining historic business upon closing will be fully retroceded to Maiden Reinsurance thus there will be continuing involvement regarding the historical insurance operations. Pursuant to the terms of the Proposed Swedish Subsidiaries Sale, this transaction met the relevant held for sale criteria at June 30, 2025 and accordingly, any non-insurance related</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assets and liabilities related to the sale consideration are classified as held-for-sale in the Condensed Consolidated Balance Sheets as at June 30, 2025. The held-for-sale assets and liabilities and discontinued operations in the tables further below do not include any insurance related balances.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Under the accounting guidance in ASC Topic 205, a business that, upon acquisition, meets the held-for-sale criteria is not analyzed under the strategic</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shift test. Instead, it is reported in discontinued operations automatically based on its held-for-sale classification. The strategic shift test does not apply because the acquired businesses were not previously part of Kestrel Group who represents the acquiring entity and therefore would be classified as held-for-sale on the acquisition date. As the condensed consolidated statement of operations of Maiden included operations of Maiden GF and Maiden LF for the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periods presented, adjustments to exclude the discontinued non-insurance activities of Maiden GF and Maiden LF were made for the three and six months ended June 30, 2025. All insurance related balances are excluded from the held-for-sale assets and liabilities which amounted to net insurance liabilities of $5,095 as at June 30, 2025.</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The Company estimated the fair value of the net assets held-for-sale to be based on the estimated selling price less costs to sell and these assets are classified as Level 2 within the fair value hierarchy as of June 30, 2025. The assets and liabilities classified as held for sale on the Company's Condensed Consolidated Balance Sheets as at June 30, 2025 include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1"/>
        </w:trPr>
        <w:tc>
          <w:tcPr>
            <w:tcW w:w="9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5"/>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98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Fixed maturities, available-for-sale, at fair value</w:t>
            </w:r>
          </w:p>
        </w:tc>
        <w:tc>
          <w:tcPr>
            <w:tcW w:w="28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0" w:type="dxa"/>
            <w:vAlign w:val="bottom"/>
          </w:tcPr>
          <w:p>
            <w:pPr>
              <w:spacing w:after="0"/>
              <w:rPr>
                <w:sz w:val="1"/>
                <w:szCs w:val="1"/>
                <w:color w:val="auto"/>
              </w:rPr>
            </w:pPr>
          </w:p>
        </w:tc>
      </w:tr>
      <w:tr>
        <w:trPr>
          <w:trHeight w:val="22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0" w:type="dxa"/>
            <w:vAlign w:val="bottom"/>
          </w:tcPr>
          <w:p>
            <w:pPr>
              <w:spacing w:after="0"/>
              <w:rPr>
                <w:sz w:val="1"/>
                <w:szCs w:val="1"/>
                <w:color w:val="auto"/>
              </w:rPr>
            </w:pPr>
          </w:p>
        </w:tc>
      </w:tr>
      <w:tr>
        <w:trPr>
          <w:trHeight w:val="228"/>
        </w:trPr>
        <w:tc>
          <w:tcPr>
            <w:tcW w:w="98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8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8"/>
        </w:trPr>
        <w:tc>
          <w:tcPr>
            <w:tcW w:w="980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46"/>
        </w:trPr>
        <w:tc>
          <w:tcPr>
            <w:tcW w:w="9800" w:type="dxa"/>
            <w:vAlign w:val="bottom"/>
            <w:tcBorders>
              <w:bottom w:val="single" w:sz="8" w:color="CCFFCC"/>
            </w:tcBorders>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held for sale</w:t>
            </w:r>
          </w:p>
        </w:tc>
        <w:tc>
          <w:tcPr>
            <w:tcW w:w="280" w:type="dxa"/>
            <w:vAlign w:val="bottom"/>
            <w:tcBorders>
              <w:bottom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19,823</w:t>
            </w:r>
          </w:p>
        </w:tc>
        <w:tc>
          <w:tcPr>
            <w:tcW w:w="0" w:type="dxa"/>
            <w:vAlign w:val="bottom"/>
          </w:tcPr>
          <w:p>
            <w:pPr>
              <w:spacing w:after="0"/>
              <w:rPr>
                <w:sz w:val="1"/>
                <w:szCs w:val="1"/>
                <w:color w:val="auto"/>
              </w:rPr>
            </w:pPr>
          </w:p>
        </w:tc>
      </w:tr>
      <w:tr>
        <w:trPr>
          <w:trHeight w:val="20"/>
        </w:trPr>
        <w:tc>
          <w:tcPr>
            <w:tcW w:w="9800" w:type="dxa"/>
            <w:vAlign w:val="bottom"/>
            <w:tcBorders>
              <w:top w:val="single" w:sz="8" w:color="CCFFCC"/>
              <w:bottom w:val="single" w:sz="8" w:color="CCFFCC"/>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98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1"/>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held for sale</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major classes of items constituting the results from discontinued operations for the three and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presented in the Condensed Consolidated Statements of Income:</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2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640" w:type="dxa"/>
            <w:vAlign w:val="bottom"/>
            <w:tcBorders>
              <w:bottom w:val="single" w:sz="8" w:color="auto"/>
            </w:tcBorders>
          </w:tcPr>
          <w:p>
            <w:pPr>
              <w:spacing w:after="0"/>
              <w:rPr>
                <w:sz w:val="2"/>
                <w:szCs w:val="2"/>
                <w:color w:val="auto"/>
              </w:rPr>
            </w:pPr>
          </w:p>
        </w:tc>
        <w:tc>
          <w:tcPr>
            <w:tcW w:w="120" w:type="dxa"/>
            <w:vAlign w:val="bottom"/>
            <w:tcBorders>
              <w:bottom w:val="single" w:sz="8" w:color="CD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640" w:type="dxa"/>
            <w:vAlign w:val="bottom"/>
            <w:shd w:val="clear" w:color="auto" w:fill="CDFFCC"/>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shd w:val="clear" w:color="auto" w:fill="CDFFCC"/>
          </w:tcPr>
          <w:p>
            <w:pPr>
              <w:spacing w:after="0"/>
              <w:rPr>
                <w:sz w:val="19"/>
                <w:szCs w:val="19"/>
                <w:color w:val="auto"/>
              </w:rPr>
            </w:pPr>
          </w:p>
        </w:tc>
        <w:tc>
          <w:tcPr>
            <w:tcW w:w="32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8"/>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8"/>
        </w:trPr>
        <w:tc>
          <w:tcPr>
            <w:tcW w:w="9760" w:type="dxa"/>
            <w:vAlign w:val="bottom"/>
            <w:gridSpan w:val="2"/>
            <w:shd w:val="clear" w:color="auto" w:fill="CDFFCC"/>
          </w:tcPr>
          <w:p>
            <w:pPr>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32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1"/>
        </w:trPr>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9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Combination</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On May 27, 2025, Kestrel LLC completed the business combination with Maiden, pursuant to the terms of the Combination Agreement.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equityholders of Kestrel LLC at the closing date received an aggregate of $40.0 million in upfront cash and 2,749,996 common shares of the combined company. In addition, the former equityholders of Kestrel LLC remain entitled to receive contingent consideration up to the lesser of (x) $45.0 million payable in common shares of Kestrel Group upon the achievement of certain financial milestones, and (y) 2.75 million common shares of Kestrel Group.</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After the closing of the Combination Agreement, the group was rebranded as Kestrel Group and is the successor company to Maiden. The Company’s authorized share capital consists of 42,500,000 shares.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Combination was accounted for as a business combination in accordance with ASC 805, which requires assets acquired and liabilities assumed to be</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measured at their acquisition date fair value. The Company also adopted ASU 2021-08, effective as of January 1, 2025, to record contract liabilities at their carrying value as of the acquisition date. Although Maiden was the legal acquirer, Kestrel LLC was determined to be the accounting acquirer and the legal acquiree. As a result, Kestrel LLC and its subsidiaries’ net assets were carried at historical value, acquired net assets of Maiden and its subsidiaries were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measured at fair value except contract liabilities being recorded at carrying value at the acquisition date, and results of operations of Maiden and its subsidiaries were included in the Company’s Condensed Consolidated Financial Statements from May 27,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and Purchase Price Allocation</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Management performed an estimation of fair values of Maiden and its subsidiaries' assets and liabilities as of May 27, 2025. The estimated fair values of</w:t>
      </w:r>
    </w:p>
    <w:p>
      <w:pPr>
        <w:spacing w:after="0" w:line="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 assets and liabilities are based on discussions with Maiden’s management, valuation studies, the transaction due diligence, and information presented in Maiden’s SEC filings. The final purchase price and estimated purchase price allocation herein may be different than the information previously filed with the SEC, and such differences could be material.</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The Company is continuing its review of these matters during the measurement period, and if new information obtained about facts and circumstances that existed at the acquisition date identifies adjustments to the liabilities initially recognized, as well as any additional liabilities that existed at the acquisition date, the acquisition accounting will be revised to reflect the resulting adjustments to the provisional amounts initially recognized.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finalize the purchase price allocation during the twelve-month period following the acquisition date.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final purchase price was based on the fair value of the issued and outstanding common shares at the closing of the Combination on May 27,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final purchase price as of May 27, 2025: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Kestrel Group Ltd shares issued at Closing</w:t>
            </w: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7,221,621</w:t>
            </w:r>
          </w:p>
        </w:tc>
      </w:tr>
      <w:tr>
        <w:trPr>
          <w:trHeight w:val="228"/>
        </w:trPr>
        <w:tc>
          <w:tcPr>
            <w:tcW w:w="980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8"/>
                <w:szCs w:val="18"/>
                <w:color w:val="auto"/>
              </w:rPr>
              <w:t>Kestrel Group Ltd share price</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1"/>
        </w:trPr>
        <w:tc>
          <w:tcPr>
            <w:tcW w:w="98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Gross equity portion of consideration transferred at Closing</w:t>
            </w:r>
          </w:p>
        </w:tc>
        <w:tc>
          <w:tcPr>
            <w:tcW w:w="340" w:type="dxa"/>
            <w:vAlign w:val="bottom"/>
            <w:tcBorders>
              <w:bottom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166,097</w:t>
            </w:r>
          </w:p>
        </w:tc>
      </w:tr>
      <w:tr>
        <w:trPr>
          <w:trHeight w:val="248"/>
        </w:trPr>
        <w:tc>
          <w:tcPr>
            <w:tcW w:w="9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8"/>
        </w:trPr>
        <w:tc>
          <w:tcPr>
            <w:tcW w:w="98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Kestrel Group Ltd shares retained as treasury shares by Maiden Reinsurance at Closing</w:t>
            </w: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(2,237,533)</w:t>
            </w:r>
          </w:p>
        </w:tc>
      </w:tr>
      <w:tr>
        <w:trPr>
          <w:trHeight w:val="228"/>
        </w:trPr>
        <w:tc>
          <w:tcPr>
            <w:tcW w:w="980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8"/>
                <w:szCs w:val="18"/>
                <w:color w:val="auto"/>
              </w:rPr>
              <w:t>Kestrel Group Ltd share price</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1"/>
        </w:trPr>
        <w:tc>
          <w:tcPr>
            <w:tcW w:w="98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Equity portion of consideration transferred to Maiden Reinsurance</w:t>
            </w:r>
          </w:p>
        </w:tc>
        <w:tc>
          <w:tcPr>
            <w:tcW w:w="340" w:type="dxa"/>
            <w:vAlign w:val="bottom"/>
            <w:tcBorders>
              <w:bottom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(51,463)</w:t>
            </w:r>
          </w:p>
        </w:tc>
      </w:tr>
      <w:tr>
        <w:trPr>
          <w:trHeight w:val="248"/>
        </w:trPr>
        <w:tc>
          <w:tcPr>
            <w:tcW w:w="9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8"/>
        </w:trPr>
        <w:tc>
          <w:tcPr>
            <w:tcW w:w="98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equity portion of consideration transferred at Closing</w:t>
            </w:r>
          </w:p>
        </w:tc>
        <w:tc>
          <w:tcPr>
            <w:tcW w:w="3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114,634</w:t>
            </w:r>
          </w:p>
        </w:tc>
      </w:tr>
      <w:tr>
        <w:trPr>
          <w:trHeight w:val="228"/>
        </w:trPr>
        <w:tc>
          <w:tcPr>
            <w:tcW w:w="9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consideration paid to shareholders at Closing for fractional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98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Portion of the Maiden awards attributable to pre-combination service</w:t>
            </w: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8"/>
        </w:trPr>
        <w:tc>
          <w:tcPr>
            <w:tcW w:w="9800" w:type="dxa"/>
            <w:vAlign w:val="bottom"/>
            <w:tcBorders>
              <w:bottom w:val="single" w:sz="8" w:color="CDFFCC"/>
            </w:tcBorders>
          </w:tcPr>
          <w:p>
            <w:pPr>
              <w:ind w:left="60"/>
              <w:spacing w:after="0"/>
              <w:rPr>
                <w:sz w:val="20"/>
                <w:szCs w:val="20"/>
                <w:color w:val="auto"/>
              </w:rPr>
            </w:pPr>
            <w:r>
              <w:rPr>
                <w:rFonts w:ascii="Times New Roman" w:cs="Times New Roman" w:eastAsia="Times New Roman" w:hAnsi="Times New Roman"/>
                <w:sz w:val="18"/>
                <w:szCs w:val="18"/>
                <w:color w:val="auto"/>
              </w:rPr>
              <w:t>Intercompany settlement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6"/>
        </w:trPr>
        <w:tc>
          <w:tcPr>
            <w:tcW w:w="9800" w:type="dxa"/>
            <w:vAlign w:val="bottom"/>
            <w:tcBorders>
              <w:bottom w:val="single" w:sz="8" w:color="CDFFCC"/>
            </w:tcBorders>
            <w:shd w:val="clear" w:color="auto" w:fill="CD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consideration effectively transferred</w:t>
            </w:r>
          </w:p>
        </w:tc>
        <w:tc>
          <w:tcPr>
            <w:tcW w:w="340" w:type="dxa"/>
            <w:vAlign w:val="bottom"/>
            <w:tcBorders>
              <w:bottom w:val="single" w:sz="8" w:color="auto"/>
            </w:tcBorders>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115,537</w:t>
            </w:r>
          </w:p>
        </w:tc>
      </w:tr>
      <w:tr>
        <w:trPr>
          <w:trHeight w:val="20"/>
        </w:trPr>
        <w:tc>
          <w:tcPr>
            <w:tcW w:w="9800" w:type="dxa"/>
            <w:vAlign w:val="bottom"/>
            <w:tcBorders>
              <w:top w:val="single" w:sz="8" w:color="CDFFCC"/>
            </w:tcBorders>
          </w:tcPr>
          <w:p>
            <w:pPr>
              <w:spacing w:after="0" w:line="20" w:lineRule="exact"/>
              <w:rPr>
                <w:sz w:val="1"/>
                <w:szCs w:val="1"/>
                <w:color w:val="auto"/>
              </w:rPr>
            </w:pPr>
          </w:p>
        </w:tc>
        <w:tc>
          <w:tcPr>
            <w:tcW w:w="34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KESTREL GROUP LTD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333" w:lineRule="exact"/>
        <w:rPr>
          <w:sz w:val="20"/>
          <w:szCs w:val="20"/>
          <w:color w:val="auto"/>
        </w:rPr>
      </w:pPr>
    </w:p>
    <w:p>
      <w:pPr>
        <w:ind w:right="8340" w:firstLine="7"/>
        <w:spacing w:after="0" w:line="356" w:lineRule="auto"/>
        <w:tabs>
          <w:tab w:leader="none" w:pos="268"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(continued) </w:t>
      </w:r>
      <w:r>
        <w:rPr>
          <w:rFonts w:ascii="Times New Roman" w:cs="Times New Roman" w:eastAsia="Times New Roman" w:hAnsi="Times New Roman"/>
          <w:sz w:val="17"/>
          <w:szCs w:val="17"/>
          <w:b w:val="1"/>
          <w:bCs w:val="1"/>
          <w:i w:val="1"/>
          <w:iCs w:val="1"/>
          <w:color w:val="auto"/>
        </w:rPr>
        <w:t>Estimated Purchase Price Allocation</w:t>
      </w:r>
    </w:p>
    <w:p>
      <w:pPr>
        <w:ind w:left="2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allocation of the estimate of the purchase price to the assets acquired and liabilities assumed as of May 27,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Fixed maturities, available-for-sale, at fair value</w:t>
            </w:r>
          </w:p>
        </w:tc>
        <w:tc>
          <w:tcPr>
            <w:tcW w:w="420" w:type="dxa"/>
            <w:vAlign w:val="bottom"/>
            <w:shd w:val="clear" w:color="auto" w:fill="CDFFCC"/>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208,855</w:t>
            </w:r>
          </w:p>
        </w:tc>
      </w:tr>
      <w:tr>
        <w:trPr>
          <w:trHeight w:val="228"/>
        </w:trPr>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11,144</w:t>
            </w:r>
          </w:p>
        </w:tc>
      </w:t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32,326</w:t>
            </w:r>
          </w:p>
        </w:tc>
      </w:tr>
      <w:tr>
        <w:trPr>
          <w:trHeight w:val="228"/>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investments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160,439</w:t>
            </w:r>
          </w:p>
        </w:tc>
      </w:tr>
      <w:tr>
        <w:trPr>
          <w:trHeight w:val="228"/>
        </w:trPr>
        <w:tc>
          <w:tcPr>
            <w:tcW w:w="9800" w:type="dxa"/>
            <w:vAlign w:val="bottom"/>
            <w:shd w:val="clear" w:color="auto" w:fill="CDFFC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68,358</w:t>
            </w:r>
          </w:p>
        </w:tc>
      </w:tr>
      <w:tr>
        <w:trPr>
          <w:trHeight w:val="228"/>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r>
      <w:tr>
        <w:trPr>
          <w:trHeight w:val="228"/>
        </w:trPr>
        <w:tc>
          <w:tcPr>
            <w:tcW w:w="9800" w:type="dxa"/>
            <w:vAlign w:val="bottom"/>
            <w:shd w:val="clear" w:color="auto" w:fill="CDFFCC"/>
          </w:tcPr>
          <w:p>
            <w:pPr>
              <w:ind w:left="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4,108</w:t>
            </w:r>
          </w:p>
        </w:tc>
      </w:tr>
      <w:tr>
        <w:trPr>
          <w:trHeight w:val="22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balances receivable, net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w:t>
            </w:r>
          </w:p>
        </w:tc>
      </w:t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517,028</w:t>
            </w:r>
          </w:p>
        </w:tc>
      </w:tr>
      <w:tr>
        <w:trPr>
          <w:trHeight w:val="228"/>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loan receivable from related party</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107,110</w:t>
            </w:r>
          </w:p>
        </w:tc>
      </w:t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11,864</w:t>
            </w:r>
          </w:p>
        </w:tc>
      </w:tr>
      <w:tr>
        <w:trPr>
          <w:trHeight w:val="228"/>
        </w:trPr>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Funds withheld receivable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r>
      <w:tr>
        <w:trPr>
          <w:trHeight w:val="228"/>
        </w:trPr>
        <w:tc>
          <w:tcPr>
            <w:tcW w:w="9800" w:type="dxa"/>
            <w:vAlign w:val="bottom"/>
            <w:shd w:val="clear" w:color="auto" w:fill="CDFFCC"/>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19,876</w:t>
            </w:r>
          </w:p>
        </w:tc>
      </w:tr>
      <w:tr>
        <w:trPr>
          <w:trHeight w:val="228"/>
        </w:trPr>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Assets held for sale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20,698</w:t>
            </w:r>
          </w:p>
        </w:tc>
      </w:t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Reserve for loss and loss adjustment expenses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(738,137)</w:t>
            </w:r>
          </w:p>
        </w:tc>
      </w:tr>
      <w:tr>
        <w:trPr>
          <w:trHeight w:val="228"/>
        </w:trPr>
        <w:tc>
          <w:tcPr>
            <w:tcW w:w="9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Unearned premiums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(23,903)</w:t>
            </w:r>
          </w:p>
        </w:tc>
      </w:t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20" w:type="dxa"/>
            <w:vAlign w:val="bottom"/>
            <w:shd w:val="clear" w:color="auto" w:fill="CDFFCC"/>
          </w:tcPr>
          <w:p>
            <w:pPr>
              <w:spacing w:after="0"/>
              <w:rPr>
                <w:sz w:val="19"/>
                <w:szCs w:val="19"/>
                <w:color w:val="auto"/>
              </w:rPr>
            </w:pPr>
          </w:p>
        </w:tc>
        <w:tc>
          <w:tcPr>
            <w:tcW w:w="10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(68,453)</w:t>
            </w:r>
          </w:p>
        </w:tc>
      </w:tr>
      <w:tr>
        <w:trPr>
          <w:trHeight w:val="228"/>
        </w:trPr>
        <w:tc>
          <w:tcPr>
            <w:tcW w:w="9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notes - at fair value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(173,669)</w:t>
            </w:r>
          </w:p>
        </w:tc>
      </w:tr>
      <w:tr>
        <w:trPr>
          <w:trHeight w:val="228"/>
        </w:trPr>
        <w:tc>
          <w:tcPr>
            <w:tcW w:w="9800" w:type="dxa"/>
            <w:vAlign w:val="bottom"/>
            <w:shd w:val="clear" w:color="auto" w:fill="CDFFCC"/>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420" w:type="dxa"/>
            <w:vAlign w:val="bottom"/>
            <w:tcBorders>
              <w:bottom w:val="single" w:sz="8" w:color="auto"/>
            </w:tcBorders>
            <w:shd w:val="clear" w:color="auto" w:fill="CDFFCC"/>
          </w:tcPr>
          <w:p>
            <w:pPr>
              <w:spacing w:after="0"/>
              <w:rPr>
                <w:sz w:val="19"/>
                <w:szCs w:val="19"/>
                <w:color w:val="auto"/>
              </w:rPr>
            </w:pP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1"/>
        </w:trPr>
        <w:tc>
          <w:tcPr>
            <w:tcW w:w="98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189,127</w:t>
            </w:r>
          </w:p>
        </w:tc>
      </w:tr>
      <w:tr>
        <w:trPr>
          <w:trHeight w:val="228"/>
        </w:trPr>
        <w:tc>
          <w:tcPr>
            <w:tcW w:w="9800" w:type="dxa"/>
            <w:vAlign w:val="bottom"/>
            <w:shd w:val="clear" w:color="auto" w:fill="CDFFCC"/>
          </w:tcPr>
          <w:p>
            <w:pPr>
              <w:ind w:left="80"/>
              <w:spacing w:after="0"/>
              <w:rPr>
                <w:sz w:val="20"/>
                <w:szCs w:val="20"/>
                <w:color w:val="auto"/>
              </w:rPr>
            </w:pPr>
            <w:r>
              <w:rPr>
                <w:rFonts w:ascii="Times New Roman" w:cs="Times New Roman" w:eastAsia="Times New Roman" w:hAnsi="Times New Roman"/>
                <w:sz w:val="18"/>
                <w:szCs w:val="18"/>
                <w:color w:val="auto"/>
              </w:rPr>
              <w:t>Bargain purchase gain</w:t>
            </w:r>
          </w:p>
        </w:tc>
        <w:tc>
          <w:tcPr>
            <w:tcW w:w="420" w:type="dxa"/>
            <w:vAlign w:val="bottom"/>
            <w:tcBorders>
              <w:bottom w:val="single" w:sz="8" w:color="auto"/>
            </w:tcBorders>
            <w:shd w:val="clear" w:color="auto" w:fill="CDFFCC"/>
          </w:tcPr>
          <w:p>
            <w:pPr>
              <w:spacing w:after="0"/>
              <w:rPr>
                <w:sz w:val="19"/>
                <w:szCs w:val="19"/>
                <w:color w:val="auto"/>
              </w:rPr>
            </w:pPr>
          </w:p>
        </w:tc>
        <w:tc>
          <w:tcPr>
            <w:tcW w:w="10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(73,590)</w:t>
            </w:r>
          </w:p>
        </w:tc>
      </w:tr>
      <w:tr>
        <w:trPr>
          <w:trHeight w:val="221"/>
        </w:trPr>
        <w:tc>
          <w:tcPr>
            <w:tcW w:w="9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consideration effectively transferred</w:t>
            </w: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115,537</w:t>
            </w:r>
          </w:p>
        </w:tc>
      </w:tr>
      <w:tr>
        <w:trPr>
          <w:trHeight w:val="20"/>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At the closing date on May 27, 2025, the fair value of Maiden's net assets acquired were $189,127 which exceeded the consideration effectively transferred of $115,537, resulting in a bargain purchase gain of $73,590 as shown in the table above. This gain was recognized immediately in the condensed consolidated statement of income of Kestrel for the three and six months ended June 30, 2025.</w:t>
      </w:r>
    </w:p>
    <w:p>
      <w:pPr>
        <w:spacing w:after="0" w:line="62"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Note 11. Commitments, Contingencies and Guarantees</w:t>
      </w:r>
      <w:r>
        <w:rPr>
          <w:rFonts w:ascii="Times New Roman" w:cs="Times New Roman" w:eastAsia="Times New Roman" w:hAnsi="Times New Roman"/>
          <w:sz w:val="17"/>
          <w:szCs w:val="17"/>
          <w:color w:val="auto"/>
        </w:rPr>
        <w:t>, Kestrel Equityholders are entitled to receive in contingent consideration up to the lesser of (x) an aggregate number of Kestrel Group Ltd common shares equal to $45.0 million divided by certain volume weighted average prices of such shares, subject to the achievement of certain EBITDA milestones by the businesses that Kestrel conducted immediately prior to closing and any extensions</w:t>
      </w:r>
    </w:p>
    <w:p>
      <w:pPr>
        <w:spacing w:after="0" w:line="203" w:lineRule="auto"/>
        <w:rPr>
          <w:sz w:val="20"/>
          <w:szCs w:val="20"/>
          <w:color w:val="auto"/>
        </w:rPr>
      </w:pPr>
      <w:r>
        <w:rPr>
          <w:rFonts w:ascii="Times New Roman" w:cs="Times New Roman" w:eastAsia="Times New Roman" w:hAnsi="Times New Roman"/>
          <w:sz w:val="18"/>
          <w:szCs w:val="18"/>
          <w:color w:val="auto"/>
        </w:rPr>
        <w:t>of such businesses or related or ancillary businesses existing thereafter, subject to other terms and conditions as set forth in the combination agreement and</w:t>
      </w:r>
    </w:p>
    <w:p>
      <w:pPr>
        <w:jc w:val="both"/>
        <w:ind w:firstLine="7"/>
        <w:spacing w:after="0" w:line="222" w:lineRule="auto"/>
        <w:tabs>
          <w:tab w:leader="none" w:pos="2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 million common shares of Kestrel Group. On June 30, 2025, the fair value of this contingent consideration was $2,679 which is reported on its own line in the Condensed Consolidated Balance Sheets. The change in fair value of the earn out liability was an increase of $2,679 for the three and six months ended June 30, 2025, respectively, and was recorded in the condensed consolidated statement of income during the reporting period.</w:t>
      </w:r>
    </w:p>
    <w:p>
      <w:pPr>
        <w:spacing w:after="0" w:line="49" w:lineRule="exact"/>
        <w:rPr>
          <w:sz w:val="20"/>
          <w:szCs w:val="20"/>
          <w:color w:val="auto"/>
        </w:rPr>
      </w:pPr>
    </w:p>
    <w:p>
      <w:pPr>
        <w:ind w:firstLine="241"/>
        <w:spacing w:after="0" w:line="234" w:lineRule="auto"/>
        <w:rPr>
          <w:sz w:val="20"/>
          <w:szCs w:val="20"/>
          <w:color w:val="auto"/>
        </w:rPr>
      </w:pPr>
      <w:r>
        <w:rPr>
          <w:rFonts w:ascii="Times New Roman" w:cs="Times New Roman" w:eastAsia="Times New Roman" w:hAnsi="Times New Roman"/>
          <w:sz w:val="17"/>
          <w:szCs w:val="17"/>
          <w:color w:val="auto"/>
        </w:rPr>
        <w:t>In connection with the Combination on May 27, 2025, the assets and liabilities of Maiden were recorded at fair value measured as of the acquisition date. Therefore, the net reserves for losses and LAE were remeasured at fair value, and based on discounted cash flow valuation techniques, a discount to net loss</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 xml:space="preserve">reserves was required which was recorded in intangible assets. At the closing date of May 27, 2025, the intangible assets acquired also consist of VOBA, as defined in </w:t>
      </w:r>
      <w:r>
        <w:rPr>
          <w:rFonts w:ascii="Times New Roman" w:cs="Times New Roman" w:eastAsia="Times New Roman" w:hAnsi="Times New Roman"/>
          <w:sz w:val="18"/>
          <w:szCs w:val="18"/>
          <w:i w:val="1"/>
          <w:iCs w:val="1"/>
          <w:color w:val="auto"/>
        </w:rPr>
        <w:t>Note 2. Significant Accounting Policies</w:t>
      </w:r>
      <w:r>
        <w:rPr>
          <w:rFonts w:ascii="Times New Roman" w:cs="Times New Roman" w:eastAsia="Times New Roman" w:hAnsi="Times New Roman"/>
          <w:sz w:val="18"/>
          <w:szCs w:val="18"/>
          <w:color w:val="auto"/>
        </w:rPr>
        <w:t>. The following table presents the components of intangible assets acquired as at May 27,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May 27, 2025</w:t>
            </w:r>
          </w:p>
        </w:tc>
        <w:tc>
          <w:tcPr>
            <w:tcW w:w="0" w:type="dxa"/>
            <w:vAlign w:val="bottom"/>
          </w:tcPr>
          <w:p>
            <w:pPr>
              <w:spacing w:after="0"/>
              <w:rPr>
                <w:sz w:val="1"/>
                <w:szCs w:val="1"/>
                <w:color w:val="auto"/>
              </w:rPr>
            </w:pPr>
          </w:p>
        </w:tc>
      </w:tr>
      <w:tr>
        <w:trPr>
          <w:trHeight w:val="25"/>
        </w:trPr>
        <w:tc>
          <w:tcPr>
            <w:tcW w:w="5080" w:type="dxa"/>
            <w:vAlign w:val="bottom"/>
            <w:tcBorders>
              <w:bottom w:val="single" w:sz="8" w:color="CCFFCC"/>
            </w:tcBorders>
          </w:tcPr>
          <w:p>
            <w:pPr>
              <w:spacing w:after="0"/>
              <w:rPr>
                <w:sz w:val="2"/>
                <w:szCs w:val="2"/>
                <w:color w:val="auto"/>
              </w:rPr>
            </w:pPr>
          </w:p>
        </w:tc>
        <w:tc>
          <w:tcPr>
            <w:tcW w:w="47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472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0" w:type="dxa"/>
            <w:vAlign w:val="bottom"/>
          </w:tcPr>
          <w:p>
            <w:pPr>
              <w:spacing w:after="0"/>
              <w:rPr>
                <w:sz w:val="1"/>
                <w:szCs w:val="1"/>
                <w:color w:val="auto"/>
              </w:rPr>
            </w:pPr>
          </w:p>
        </w:tc>
      </w:tr>
      <w:tr>
        <w:trPr>
          <w:trHeight w:val="228"/>
        </w:trPr>
        <w:tc>
          <w:tcPr>
            <w:tcW w:w="508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Fair value discount on acquired net reserves for losses and LAE</w:t>
            </w:r>
          </w:p>
        </w:tc>
        <w:tc>
          <w:tcPr>
            <w:tcW w:w="47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0" w:type="dxa"/>
            <w:vAlign w:val="bottom"/>
          </w:tcPr>
          <w:p>
            <w:pPr>
              <w:spacing w:after="0"/>
              <w:rPr>
                <w:sz w:val="1"/>
                <w:szCs w:val="1"/>
                <w:color w:val="auto"/>
              </w:rPr>
            </w:pPr>
          </w:p>
        </w:tc>
      </w:tr>
      <w:tr>
        <w:trPr>
          <w:trHeight w:val="246"/>
        </w:trPr>
        <w:tc>
          <w:tcPr>
            <w:tcW w:w="508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8"/>
                <w:szCs w:val="18"/>
                <w:b w:val="1"/>
                <w:bCs w:val="1"/>
                <w:color w:val="auto"/>
              </w:rPr>
              <w:t>Total Intangible Assets at acquisition</w:t>
            </w:r>
          </w:p>
        </w:tc>
        <w:tc>
          <w:tcPr>
            <w:tcW w:w="47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0" w:type="dxa"/>
            <w:vAlign w:val="bottom"/>
          </w:tcPr>
          <w:p>
            <w:pPr>
              <w:spacing w:after="0"/>
              <w:rPr>
                <w:sz w:val="1"/>
                <w:szCs w:val="1"/>
                <w:color w:val="auto"/>
              </w:rPr>
            </w:pPr>
          </w:p>
        </w:tc>
      </w:tr>
      <w:tr>
        <w:trPr>
          <w:trHeight w:val="20"/>
        </w:trPr>
        <w:tc>
          <w:tcPr>
            <w:tcW w:w="5080" w:type="dxa"/>
            <w:vAlign w:val="bottom"/>
            <w:tcBorders>
              <w:top w:val="single" w:sz="8" w:color="CCFFCC"/>
            </w:tcBorders>
          </w:tcPr>
          <w:p>
            <w:pPr>
              <w:spacing w:after="0" w:line="20" w:lineRule="exact"/>
              <w:rPr>
                <w:sz w:val="1"/>
                <w:szCs w:val="1"/>
                <w:color w:val="auto"/>
              </w:rPr>
            </w:pPr>
          </w:p>
        </w:tc>
        <w:tc>
          <w:tcPr>
            <w:tcW w:w="4720" w:type="dxa"/>
            <w:vAlign w:val="bottom"/>
            <w:tcBorders>
              <w:top w:val="single" w:sz="8" w:color="CCFFCC"/>
              <w:bottom w:val="single" w:sz="8" w:color="CCFFCC"/>
            </w:tcBorders>
            <w:vMerge w:val="restart"/>
          </w:tcPr>
          <w:p>
            <w:pPr>
              <w:jc w:val="right"/>
              <w:ind w:right="3991"/>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08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080" w:type="dxa"/>
            <w:vAlign w:val="bottom"/>
            <w:tcBorders>
              <w:bottom w:val="single" w:sz="8" w:color="9A9A9A"/>
            </w:tcBorders>
          </w:tcPr>
          <w:p>
            <w:pPr>
              <w:spacing w:after="0"/>
              <w:rPr>
                <w:sz w:val="9"/>
                <w:szCs w:val="9"/>
                <w:color w:val="auto"/>
              </w:rPr>
            </w:pPr>
          </w:p>
        </w:tc>
        <w:tc>
          <w:tcPr>
            <w:tcW w:w="4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jc w:val="both"/>
        <w:ind w:firstLine="241"/>
        <w:spacing w:after="0" w:line="21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(this "Form 10-Q" or this "Report"). References in this Form 10-Q to the terms "we", "us", "our", "the Company", "Kestrel" or other similar terms mean the consolidated operations of Kestrel</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Group Ltd and its subsidiaries, unless the context requires otherwise. References in this Form 10-Q to the term "Kestrel Group" means Kestrel Group Ltd only. Certain reclassifications have been made for 2024 to conform to the 2025 presentation and have no impact on consolidated net income and total equity previously reported.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Forward-Looking Statements</w:t>
      </w:r>
    </w:p>
    <w:p>
      <w:pPr>
        <w:spacing w:after="0" w:line="7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This Quarterly Report on Form 10-Q includes anticipated benefits of the business combination and integration of Maiden Holdings Ltd. and Kestrel Group LLC, projections concerning financial information and statements concerning future economic performance and events, plans and objectives relating</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to management, operations, products and services, and assumptions underlying these projections and statements. These projections and statements are forward-looking statements within the meaning of The Private Securities Litigation Reform Act of 1995 and are not historical facts but instead represent only our belief regarding future events, many of which, by their nature, are inherently uncertain and outside our control. These projections and statements</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may address, among other things, our strategy for growth, product development, financial results and reserves. Our actual results and financial condition may differ, possibly materially, from these projections and statements and therefore you should not place undue reliance on them.</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Factors that could cause our actual results and financial condition to differ, possibly materially, from those in the specific projections and statements are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 xml:space="preserve">discussed throughout this Management's Discussion and Analysis of Financial Condition and Results of Operations and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included under </w:t>
      </w:r>
      <w:r>
        <w:rPr>
          <w:rFonts w:ascii="Times New Roman" w:cs="Times New Roman" w:eastAsia="Times New Roman" w:hAnsi="Times New Roman"/>
          <w:sz w:val="17"/>
          <w:szCs w:val="17"/>
          <w:i w:val="1"/>
          <w:iCs w:val="1"/>
          <w:color w:val="auto"/>
        </w:rPr>
        <w:t xml:space="preserve">Part II. Other Information </w:t>
      </w:r>
      <w:r>
        <w:rPr>
          <w:rFonts w:ascii="Times New Roman" w:cs="Times New Roman" w:eastAsia="Times New Roman" w:hAnsi="Times New Roman"/>
          <w:sz w:val="17"/>
          <w:szCs w:val="17"/>
          <w:color w:val="auto"/>
        </w:rPr>
        <w:t>included within this filing, however, these factors should not be construed as exhaustive. Forward-looking statements speak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of the date they are made and we undertake no obligation to update or revise any forward-looking statement that may be made from time to time, whether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Introductory Note</w:t>
      </w:r>
    </w:p>
    <w:p>
      <w:pPr>
        <w:spacing w:after="0" w:line="7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On May 27, 2025, Kestrel Group LLC (“Kestrel LLC”) and Maiden Holdings, Ltd. (“Maiden”) completed their previously announced combination ("Combination"), forming a new, publicly listed specialty program group operating under the name Kestrel Group Ltd (“Kestrel Group”). The Combination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was previously announced on December 30, 2024. Maiden shares ceased trading on the NASDAQ Capital Market ("Nasdaq") at close of market on May 27, 2025. Kestrel Group shares began trading on the Nasdaq at open of market on May 28, 2025 under the ticker symbol “KG”. Upon the closing of the Transactions (the “Closing”), Maiden and Kestrel LLC are now wholly owned subsidiaries of the Company, which was rebranded as Kestrel Group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renamed “Kestrel Group Ltd” ("Kestrel Group").</w:t>
      </w:r>
    </w:p>
    <w:p>
      <w:pPr>
        <w:spacing w:after="0" w:line="55"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The Combination creates a capital light, fee-based insurance platform with the ability to selectively deploy underwriting capacity to optimize shareholder returns, with a commitment to innovation, client service and long-term relationships.</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Kestrel Group specializes in providing fronting services to insurance program managers, managing general agencies (MGAs), reinsurers, and reinsurance brokers. Kestrel Group facilitates insurance transactions utilizing its exclusive management contracts with four insurance carriers, all of which are rated A-“Excellent” by A.M. Best. These contracts enable Kestrel Group to offer both admitted and surplus lines in all U.S. states. Kestrel LLC generally does not</w:t>
      </w:r>
    </w:p>
    <w:p>
      <w:pPr>
        <w:spacing w:after="0" w:line="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assume significant underwriting risk and produces lines of business such as casualty, workers’ compensation, catastrophe-exposed property, and non-catastrophe-exposed property, with diverse risk durations, sizes, and product types.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Kestrel Group continues to write business through its exclusive use of A.M. Best A- FSC XV insurance carriers Sierra Specialty Insurance Company,</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Rochdale Insurance Company, Park National Insurance Company and Republic Fire and Casualty Insurance Company (collectively, “AmTrust Insurance Companies”), all subsidiaries of AmTrust Financial Services, Inc. (“AmTrust”). Kestrel Group currently retains an option to acquire the AmTrust Insurance Companies for a period of up to three years after closing from AmTrust. AmTrust is a significant shareholder of Kestrel Group. Please see </w:t>
      </w:r>
      <w:r>
        <w:rPr>
          <w:rFonts w:ascii="Times New Roman" w:cs="Times New Roman" w:eastAsia="Times New Roman" w:hAnsi="Times New Roman"/>
          <w:sz w:val="18"/>
          <w:szCs w:val="18"/>
          <w:i w:val="1"/>
          <w:iCs w:val="1"/>
          <w:color w:val="auto"/>
        </w:rPr>
        <w:t>Note 10. Related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Party Transactions </w:t>
      </w:r>
      <w:r>
        <w:rPr>
          <w:rFonts w:ascii="Times New Roman" w:cs="Times New Roman" w:eastAsia="Times New Roman" w:hAnsi="Times New Roman"/>
          <w:sz w:val="18"/>
          <w:szCs w:val="18"/>
          <w:color w:val="auto"/>
        </w:rPr>
        <w:t>for further information regarding the Company's relationship with AmTrust.</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As of June 30, 2025, Maiden Reinsurance owns approximately 22.4% of the Company's total outstanding common shares which is eliminated for accounting and financial reporting purposes on the Company's condensed consolidated financial statements. On April 29, 2025, former Maiden shareholders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approved the proposal to remove the 9.5% voting limitation at the Company's special general meeting of its shareholders (the "Special Meeting"). The ownership of the common shares by Maiden Reinsurance was made in compliance with Maiden Reinsurance's investment policy and approved by the Vermont Department of Financial Regulation ("Vermont DFR").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Operations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business consists of two reportable segments: Program Services and Legacy Reinsurance.</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Program Services segment consists of a cohesive suite of products and services offered by Kestrel that are integrated and interdependent. Kestrel’s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revenue is highly concentrated because of the capacity distribution agreements with an individual customer. Capacity distribution fees are collected from program managers or MGAs for providing support services and granting contractual access to our insurance carrier network and are considered a single performance obligation. Support services provided for these insurance and reinsurance brokerage arrangements include compliance and regulatory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administrative support which culminate in the placement of bound insurance coverage. Kestrel considers these arrangements a single revenue stream</w:t>
      </w:r>
      <w:r>
        <w:rPr>
          <w:rFonts w:ascii="Times New Roman" w:cs="Times New Roman" w:eastAsia="Times New Roman" w:hAnsi="Times New Roman"/>
          <w:sz w:val="18"/>
          <w:szCs w:val="18"/>
          <w:i w:val="1"/>
          <w:iCs w:val="1"/>
          <w:color w:val="auto"/>
        </w:rPr>
        <w:t>.</w:t>
      </w:r>
    </w:p>
    <w:p>
      <w:pPr>
        <w:spacing w:after="0" w:line="55"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Our Legacy Reinsurance segment consists of primarily reinsurance business previously produced by Maiden, which had been segregated into two reportable segments: AmTrust Reinsurance and Diversified Reinsurance. Business formerly classified in the AmTrust Reinsurance segment is now described as "AmTrust Reinsurance Legacy Business" while business formerly classified in the Diversified Reinsurance segment is referred to as "Diversified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Legacy Business" within this new segment.</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AmTrust Reinsurance Legacy Business includes all business ceded to Maiden Reinsurance by AmTrust, primarily the quota share reinsurance agreement (“AmTrust Quota Share”) between Maiden Reinsurance and AmTrust’s wholly owned subsidiary, AmTrust International Insurance, Ltd. (“AII”) and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 xml:space="preserve">European hospital liability quota share reinsurance contract ("European Hospital Liability Quota Share") with AmTrust’s wholly owned subsidiaries, AEL and AIU DAC, both of which are in run-off effective as of January 1, 2019, as discussed in </w:t>
      </w:r>
      <w:r>
        <w:rPr>
          <w:rFonts w:ascii="Times New Roman" w:cs="Times New Roman" w:eastAsia="Times New Roman" w:hAnsi="Times New Roman"/>
          <w:sz w:val="17"/>
          <w:szCs w:val="17"/>
          <w:i w:val="1"/>
          <w:iCs w:val="1"/>
          <w:color w:val="auto"/>
        </w:rPr>
        <w:t>Note 10. Related Party Transactions</w:t>
      </w:r>
      <w:r>
        <w:rPr>
          <w:rFonts w:ascii="Times New Roman" w:cs="Times New Roman" w:eastAsia="Times New Roman" w:hAnsi="Times New Roman"/>
          <w:sz w:val="17"/>
          <w:szCs w:val="17"/>
          <w:color w:val="auto"/>
        </w:rPr>
        <w:t xml:space="preserve"> of the Notes to Condensed Consolidated Financial Statements included in Part I Item 1. </w:t>
      </w:r>
      <w:r>
        <w:rPr>
          <w:rFonts w:ascii="Times New Roman" w:cs="Times New Roman" w:eastAsia="Times New Roman" w:hAnsi="Times New Roman"/>
          <w:sz w:val="17"/>
          <w:szCs w:val="17"/>
          <w:i w:val="1"/>
          <w:iCs w:val="1"/>
          <w:color w:val="auto"/>
        </w:rPr>
        <w:t>"Financial Information"</w:t>
      </w:r>
      <w:r>
        <w:rPr>
          <w:rFonts w:ascii="Times New Roman" w:cs="Times New Roman" w:eastAsia="Times New Roman" w:hAnsi="Times New Roman"/>
          <w:sz w:val="17"/>
          <w:szCs w:val="17"/>
          <w:color w:val="auto"/>
        </w:rPr>
        <w:t>. In addition, the Company has a retroactive reinsurance agreement and</w:t>
      </w:r>
    </w:p>
    <w:p>
      <w:pPr>
        <w:spacing w:after="0" w:line="203" w:lineRule="auto"/>
        <w:rPr>
          <w:sz w:val="20"/>
          <w:szCs w:val="20"/>
          <w:color w:val="auto"/>
        </w:rPr>
      </w:pPr>
      <w:r>
        <w:rPr>
          <w:rFonts w:ascii="Times New Roman" w:cs="Times New Roman" w:eastAsia="Times New Roman" w:hAnsi="Times New Roman"/>
          <w:sz w:val="18"/>
          <w:szCs w:val="18"/>
          <w:color w:val="auto"/>
        </w:rPr>
        <w:t xml:space="preserve">a commutation agreement that further reduces its exposure and limits the potential volatility related to AmTrust liabilities, which are discussed in </w:t>
      </w:r>
      <w:r>
        <w:rPr>
          <w:rFonts w:ascii="Times New Roman" w:cs="Times New Roman" w:eastAsia="Times New Roman" w:hAnsi="Times New Roman"/>
          <w:sz w:val="18"/>
          <w:szCs w:val="18"/>
          <w:i w:val="1"/>
          <w:iCs w:val="1"/>
          <w:color w:val="auto"/>
        </w:rPr>
        <w:t>Note</w:t>
      </w:r>
    </w:p>
    <w:p>
      <w:pPr>
        <w:ind w:left="180" w:hanging="173"/>
        <w:spacing w:after="0"/>
        <w:tabs>
          <w:tab w:leader="none" w:pos="1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Reinsurance </w:t>
      </w:r>
      <w:r>
        <w:rPr>
          <w:rFonts w:ascii="Times New Roman" w:cs="Times New Roman" w:eastAsia="Times New Roman" w:hAnsi="Times New Roman"/>
          <w:sz w:val="18"/>
          <w:szCs w:val="18"/>
          <w:color w:val="auto"/>
        </w:rPr>
        <w:t>of the Notes to Condensed Consolidated Financial Statements included in Part I Item 1.</w:t>
      </w:r>
      <w:r>
        <w:rPr>
          <w:rFonts w:ascii="Times New Roman" w:cs="Times New Roman" w:eastAsia="Times New Roman" w:hAnsi="Times New Roman"/>
          <w:sz w:val="18"/>
          <w:szCs w:val="18"/>
          <w:i w:val="1"/>
          <w:iCs w:val="1"/>
          <w:color w:val="auto"/>
        </w:rPr>
        <w:t xml:space="preserve"> "Financial Information"</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Diversified Reinsurance legacy business comprises a run-off portfolio of predominantly property and casualty reinsurance business focusing on regional</w:t>
      </w:r>
    </w:p>
    <w:p>
      <w:pPr>
        <w:spacing w:after="0" w:line="202" w:lineRule="auto"/>
        <w:rPr>
          <w:sz w:val="20"/>
          <w:szCs w:val="20"/>
          <w:color w:val="auto"/>
        </w:rPr>
      </w:pPr>
      <w:r>
        <w:rPr>
          <w:rFonts w:ascii="Times New Roman" w:cs="Times New Roman" w:eastAsia="Times New Roman" w:hAnsi="Times New Roman"/>
          <w:sz w:val="18"/>
          <w:szCs w:val="18"/>
          <w:color w:val="auto"/>
        </w:rPr>
        <w:t xml:space="preserve">and specialty property and casualty insurance companies located primarily in Europe, as well as transactions entered into by GLS as described in </w:t>
      </w:r>
      <w:r>
        <w:rPr>
          <w:rFonts w:ascii="Times New Roman" w:cs="Times New Roman" w:eastAsia="Times New Roman" w:hAnsi="Times New Roman"/>
          <w:sz w:val="18"/>
          <w:szCs w:val="18"/>
          <w:i w:val="1"/>
          <w:iCs w:val="1"/>
          <w:color w:val="auto"/>
        </w:rPr>
        <w:t>Note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under</w:t>
      </w:r>
      <w:r>
        <w:rPr>
          <w:rFonts w:ascii="Times New Roman" w:cs="Times New Roman" w:eastAsia="Times New Roman" w:hAnsi="Times New Roman"/>
          <w:sz w:val="18"/>
          <w:szCs w:val="18"/>
          <w:i w:val="1"/>
          <w:iCs w:val="1"/>
          <w:color w:val="auto"/>
        </w:rPr>
        <w:t xml:space="preserve"> Maiden Legacy Operations.</w:t>
      </w:r>
    </w:p>
    <w:p>
      <w:pPr>
        <w:spacing w:after="0" w:line="55"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The Company does not presently underwrite prospective reinsurance risks but may consider selectively deploying underwriting capacity to optimize shareholder returns in support of the Company's Program Services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79" w:lineRule="exact"/>
        <w:rPr>
          <w:sz w:val="20"/>
          <w:szCs w:val="20"/>
          <w:color w:val="auto"/>
        </w:rPr>
      </w:pPr>
    </w:p>
    <w:p>
      <w:pPr>
        <w:jc w:val="both"/>
        <w:ind w:right="20" w:firstLine="241"/>
        <w:spacing w:after="0" w:line="229" w:lineRule="auto"/>
        <w:rPr>
          <w:sz w:val="20"/>
          <w:szCs w:val="20"/>
          <w:color w:val="auto"/>
        </w:rPr>
      </w:pPr>
      <w:r>
        <w:rPr>
          <w:rFonts w:ascii="Times New Roman" w:cs="Times New Roman" w:eastAsia="Times New Roman" w:hAnsi="Times New Roman"/>
          <w:sz w:val="18"/>
          <w:szCs w:val="18"/>
          <w:color w:val="auto"/>
        </w:rPr>
        <w:t>Our strategic focus centers on growing the fee income component of our program services business, which will increase our earnings before interest, taxes, depreciation and amortization ("EBITDA") while effectively managing the continuing run-off of the legacy Maiden alternative asset and reinsurance</w:t>
      </w:r>
    </w:p>
    <w:p>
      <w:pPr>
        <w:jc w:val="both"/>
        <w:spacing w:after="0" w:line="224" w:lineRule="auto"/>
        <w:rPr>
          <w:sz w:val="20"/>
          <w:szCs w:val="20"/>
          <w:color w:val="auto"/>
        </w:rPr>
      </w:pPr>
      <w:r>
        <w:rPr>
          <w:rFonts w:ascii="Times New Roman" w:cs="Times New Roman" w:eastAsia="Times New Roman" w:hAnsi="Times New Roman"/>
          <w:sz w:val="18"/>
          <w:szCs w:val="18"/>
          <w:color w:val="auto"/>
        </w:rPr>
        <w:t>portfolios. Our focus on growing our fee business may include but may consider selectively deploying underwriting capacity to optimize shareholder returns in support of this business.</w:t>
      </w:r>
    </w:p>
    <w:p>
      <w:pPr>
        <w:spacing w:after="0" w:line="63"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We believe this will create the greatest risk-adjusted shareholder returns in order to increase EBITDA and book value for our common shareholders, both near and long-term. Our assessment is that these areas of strategic focus would enhance our profitability through increased returns, which would also</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increase the likelihood of fully utilizing the significant net operating loss ("NOL") carryforwards, as described further below, which would increase both GAAP book value and create additional common shareholder value. The recognition of the deferred tax asset on our balance sheet remains a leading priority</w:t>
      </w:r>
    </w:p>
    <w:p>
      <w:pPr>
        <w:spacing w:after="0"/>
        <w:rPr>
          <w:sz w:val="20"/>
          <w:szCs w:val="20"/>
          <w:color w:val="auto"/>
        </w:rPr>
      </w:pPr>
      <w:r>
        <w:rPr>
          <w:rFonts w:ascii="Times New Roman" w:cs="Times New Roman" w:eastAsia="Times New Roman" w:hAnsi="Times New Roman"/>
          <w:sz w:val="18"/>
          <w:szCs w:val="18"/>
          <w:color w:val="auto"/>
        </w:rPr>
        <w:t>for the Company to increase its GAAP book value.</w:t>
      </w:r>
    </w:p>
    <w:p>
      <w:pPr>
        <w:spacing w:after="0" w:line="68"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 xml:space="preserve">As a result of the Combination, as of June 30, 2025, we invested $206.5 million into alternative investments which include equity securities, equity method investments and other investments in a wide variety of asset classes. Please refer to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on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Investments, Equity Method Investments and Equity Investments" </w:t>
      </w:r>
      <w:r>
        <w:rPr>
          <w:rFonts w:ascii="Times New Roman" w:cs="Times New Roman" w:eastAsia="Times New Roman" w:hAnsi="Times New Roman"/>
          <w:sz w:val="18"/>
          <w:szCs w:val="18"/>
          <w:color w:val="auto"/>
        </w:rPr>
        <w:t>for further information on these alternative asset classes and a detailed discussion of their</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investment returns. Recent developments and trends in financial markets, particularly the ongoing volatility in interest rates and the associated economic uncertainty as a result of those and other fiscal and monetary policy changes, indicate that it may take longer than expected to achieve those returns and we expect that to factor into future capital allocation decisions.</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Prior to the Combination, Maiden had determined that this asset management strategy did not serve its longer-term strategic goals, which had shifted to a focus on developing or acquiring fee income oriented insurance operations and had ceased making commitments to these alternative asset classes and had begun to dispose of these investments. Subsequent to the Combination, we have continued to pursue this objective and seek to find appropriate opportunities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dispose of these assets and believe this is a high priority in support of focusing our efforts on growing our program services business.</w:t>
      </w:r>
    </w:p>
    <w:p>
      <w:pPr>
        <w:spacing w:after="0" w:line="55"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Accordingly, we expect our alternative investment portfolio to be reduced in future periods as we believe it is critical to reposition our balance sheet and increase our liquidity in support of the current initiatives being pursued.</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While we believe that the Combination with Maiden will increase the likelihood of achieving our stated objectives, there can be no assurance that the run-off of its insurance liabilities will run-off at levels that will allow us to achieve those goals. As a result, we continue to pursue finality solutions to resolve the AmTrust liabilities not covered by the LPT/ADC Agreement, including through third-parties. There can be no guarantee that we will execute</w:t>
      </w:r>
    </w:p>
    <w:p>
      <w:pPr>
        <w:spacing w:after="0" w:line="3"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such finality solutions and these solutions could involve significant charges to execute and we are actively evaluating the potential costs and benefits of such solutions, to the extent they are available to the Company.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NOL Carryforwards</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We believe the Combination will create opportunities to utilize Maiden's NOL carryforwards of $454.8 million at June 30, 2025. Approximately $374.2 million of these NOL carryforwards expire in various years beginning in 2029. As of June 30, 2025, $80.6 million or 17.7% of the Company's NOL carryforwards have no expiry date under the relevant U.S. tax law. The NOL carryforwards combined with additional net deferred tax assets ("DTA")</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primarily related to Maiden's insurance liabilities result in net U.S. DTA (before valuation allowance) of $126.5 million or $16.34 per common share at June 30, 2025.</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Maiden's net U.S. DTA of $126.5 million is not presently recognized on the Company's condensed consolidated balance sheets as a full valuation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allowance is carried against it. Additionally, Kestrel's DTA of $7.5 million, which relates to tax basis intangibles, is not presently recognized on the Company's condensed consolidated balance sheets as a full valuation allowance is carried against it. At this time, the Company believes it is necessary to maintain a full valuation allowance against both net DTA's as more evidence is needed regarding the utilization of these losses. As circumstances further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we will continuously evaluate the amount of the valuation allowance held against the net DTA.</w:t>
      </w:r>
    </w:p>
    <w:p>
      <w:pPr>
        <w:spacing w:after="0" w:line="53" w:lineRule="exact"/>
        <w:rPr>
          <w:sz w:val="20"/>
          <w:szCs w:val="20"/>
          <w:color w:val="auto"/>
        </w:rPr>
      </w:pPr>
    </w:p>
    <w:p>
      <w:pPr>
        <w:jc w:val="both"/>
        <w:ind w:right="20" w:firstLine="241"/>
        <w:spacing w:after="0" w:line="237" w:lineRule="auto"/>
        <w:rPr>
          <w:sz w:val="20"/>
          <w:szCs w:val="20"/>
          <w:color w:val="auto"/>
        </w:rPr>
      </w:pPr>
      <w:r>
        <w:rPr>
          <w:rFonts w:ascii="Times New Roman" w:cs="Times New Roman" w:eastAsia="Times New Roman" w:hAnsi="Times New Roman"/>
          <w:sz w:val="18"/>
          <w:szCs w:val="18"/>
          <w:color w:val="auto"/>
        </w:rPr>
        <w:t>For further details on the NOL carryforwards, please see "</w:t>
      </w:r>
      <w:r>
        <w:rPr>
          <w:rFonts w:ascii="Times New Roman" w:cs="Times New Roman" w:eastAsia="Times New Roman" w:hAnsi="Times New Roman"/>
          <w:sz w:val="18"/>
          <w:szCs w:val="18"/>
          <w:i w:val="1"/>
          <w:iCs w:val="1"/>
          <w:color w:val="auto"/>
        </w:rPr>
        <w:t>Note 13 — Income Taxes</w:t>
      </w:r>
      <w:r>
        <w:rPr>
          <w:rFonts w:ascii="Times New Roman" w:cs="Times New Roman" w:eastAsia="Times New Roman" w:hAnsi="Times New Roman"/>
          <w:sz w:val="18"/>
          <w:szCs w:val="18"/>
          <w:color w:val="auto"/>
        </w:rPr>
        <w:t>" included under Part 1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of the Quarterly Report on Form 10–Q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Six Months Ended June 30, 2025 and 2024 Financial Highlights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360" w:type="dxa"/>
            <w:vAlign w:val="bottom"/>
          </w:tcPr>
          <w:p>
            <w:pPr>
              <w:spacing w:after="0"/>
              <w:rPr>
                <w:sz w:val="18"/>
                <w:szCs w:val="18"/>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Pr>
          <w:p>
            <w:pPr>
              <w:spacing w:after="0"/>
              <w:rPr>
                <w:sz w:val="18"/>
                <w:szCs w:val="18"/>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4"/>
        </w:trPr>
        <w:tc>
          <w:tcPr>
            <w:tcW w:w="6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Summary Consolidated Statement of Income Data (unaudited):</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color w:val="auto"/>
              </w:rPr>
              <w:t>($ in thousands except per share data)</w:t>
            </w:r>
          </w:p>
        </w:tc>
        <w:tc>
          <w:tcPr>
            <w:tcW w:w="1120" w:type="dxa"/>
            <w:vAlign w:val="bottom"/>
            <w:tcBorders>
              <w:top w:val="single" w:sz="8" w:color="auto"/>
            </w:tcBorders>
          </w:tcPr>
          <w:p>
            <w:pPr>
              <w:spacing w:after="0"/>
              <w:rPr>
                <w:sz w:val="19"/>
                <w:szCs w:val="19"/>
                <w:color w:val="auto"/>
              </w:rPr>
            </w:pPr>
          </w:p>
        </w:tc>
      </w:tr>
      <w:tr>
        <w:trPr>
          <w:trHeight w:val="228"/>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shd w:val="clear" w:color="auto" w:fill="CD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70,422</w:t>
            </w:r>
          </w:p>
        </w:tc>
        <w:tc>
          <w:tcPr>
            <w:tcW w:w="400" w:type="dxa"/>
            <w:vAlign w:val="bottom"/>
            <w:shd w:val="clear" w:color="auto" w:fill="CDFFC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(547)</w:t>
            </w:r>
          </w:p>
        </w:tc>
        <w:tc>
          <w:tcPr>
            <w:tcW w:w="340" w:type="dxa"/>
            <w:vAlign w:val="bottom"/>
            <w:shd w:val="clear" w:color="auto" w:fill="CDFFC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70,969</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6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8"/>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69,927</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(547)</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70,474</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 earnings (loss) per common share: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Net income attributable to common shareholders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15.05</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36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1,096</w:t>
            </w:r>
          </w:p>
        </w:tc>
        <w:tc>
          <w:tcPr>
            <w:tcW w:w="4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8"/>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2,422</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8"/>
        </w:trPr>
        <w:tc>
          <w:tcPr>
            <w:tcW w:w="65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Underwriting and fee income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6,059</w:t>
            </w: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6,071</w:t>
            </w: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Net investment results</w:t>
            </w:r>
            <w:r>
              <w:rPr>
                <w:rFonts w:ascii="Times New Roman" w:cs="Times New Roman" w:eastAsia="Times New Roman" w:hAnsi="Times New Roman"/>
                <w:sz w:val="23"/>
                <w:szCs w:val="23"/>
                <w:color w:val="auto"/>
                <w:vertAlign w:val="superscript"/>
              </w:rPr>
              <w:t>(9)</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2,589</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91"/>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2,535</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Non-GAAP measures: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Non-GAAP operating earnings (loss)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3,462</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(547)</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28"/>
        </w:trPr>
        <w:tc>
          <w:tcPr>
            <w:tcW w:w="65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Non-GAAP basic and diluted operating earnings (loss) per common share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0.71</w:t>
            </w: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(0.20)</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Annualized non-GAAP operating return on average shareholders' equity</w:t>
            </w:r>
            <w:r>
              <w:rPr>
                <w:rFonts w:ascii="Times New Roman" w:cs="Times New Roman" w:eastAsia="Times New Roman" w:hAnsi="Times New Roman"/>
                <w:sz w:val="23"/>
                <w:szCs w:val="23"/>
                <w:color w:val="auto"/>
                <w:vertAlign w:val="superscript"/>
              </w:rPr>
              <w:t>(1)</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68"/>
        </w:trPr>
        <w:tc>
          <w:tcPr>
            <w:tcW w:w="6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4"/>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360" w:type="dxa"/>
            <w:vAlign w:val="bottom"/>
            <w:shd w:val="clear" w:color="auto" w:fill="CDFFCC"/>
          </w:tcPr>
          <w:p>
            <w:pPr>
              <w:spacing w:after="0"/>
              <w:rPr>
                <w:sz w:val="18"/>
                <w:szCs w:val="18"/>
                <w:color w:val="auto"/>
              </w:rPr>
            </w:pPr>
          </w:p>
        </w:tc>
        <w:tc>
          <w:tcPr>
            <w:tcW w:w="1260" w:type="dxa"/>
            <w:vAlign w:val="bottom"/>
            <w:shd w:val="clear" w:color="auto" w:fill="CDFFCC"/>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shd w:val="clear" w:color="auto" w:fill="CDFFCC"/>
          </w:tcPr>
          <w:p>
            <w:pPr>
              <w:spacing w:after="0"/>
              <w:rPr>
                <w:sz w:val="18"/>
                <w:szCs w:val="18"/>
                <w:color w:val="auto"/>
              </w:rPr>
            </w:pPr>
          </w:p>
        </w:tc>
        <w:tc>
          <w:tcPr>
            <w:tcW w:w="1240" w:type="dxa"/>
            <w:vAlign w:val="bottom"/>
            <w:shd w:val="clear" w:color="auto" w:fill="CDFFCC"/>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shd w:val="clear" w:color="auto" w:fill="CDFFCC"/>
          </w:tcPr>
          <w:p>
            <w:pPr>
              <w:spacing w:after="0"/>
              <w:rPr>
                <w:sz w:val="18"/>
                <w:szCs w:val="18"/>
                <w:color w:val="auto"/>
              </w:rPr>
            </w:pPr>
          </w:p>
        </w:tc>
        <w:tc>
          <w:tcPr>
            <w:tcW w:w="1120" w:type="dxa"/>
            <w:vAlign w:val="bottom"/>
            <w:shd w:val="clear" w:color="auto" w:fill="CDFFCC"/>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1"/>
        </w:trPr>
        <w:tc>
          <w:tcPr>
            <w:tcW w:w="6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Summary Consolidated Statement of Income Data (unaudited):</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color w:val="auto"/>
              </w:rPr>
              <w:t>($ in thousands except per share data)</w:t>
            </w:r>
          </w:p>
        </w:tc>
        <w:tc>
          <w:tcPr>
            <w:tcW w:w="1120" w:type="dxa"/>
            <w:vAlign w:val="bottom"/>
            <w:tcBorders>
              <w:top w:val="single" w:sz="8" w:color="auto"/>
            </w:tcBorders>
          </w:tcPr>
          <w:p>
            <w:pPr>
              <w:spacing w:after="0"/>
              <w:rPr>
                <w:sz w:val="19"/>
                <w:szCs w:val="19"/>
                <w:color w:val="auto"/>
              </w:rPr>
            </w:pPr>
          </w:p>
        </w:tc>
      </w:tr>
      <w:tr>
        <w:trPr>
          <w:trHeight w:val="228"/>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60" w:type="dxa"/>
            <w:vAlign w:val="bottom"/>
            <w:shd w:val="clear" w:color="auto" w:fill="CD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70,028</w:t>
            </w:r>
          </w:p>
        </w:tc>
        <w:tc>
          <w:tcPr>
            <w:tcW w:w="400" w:type="dxa"/>
            <w:vAlign w:val="bottom"/>
            <w:shd w:val="clear" w:color="auto" w:fill="CDFFCC"/>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(924)</w:t>
            </w:r>
          </w:p>
        </w:tc>
        <w:tc>
          <w:tcPr>
            <w:tcW w:w="340" w:type="dxa"/>
            <w:vAlign w:val="bottom"/>
            <w:shd w:val="clear" w:color="auto" w:fill="CDFFC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70,952</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360" w:type="dxa"/>
            <w:vAlign w:val="bottom"/>
          </w:tcPr>
          <w:p>
            <w:pPr>
              <w:spacing w:after="0"/>
              <w:rPr>
                <w:sz w:val="19"/>
                <w:szCs w:val="19"/>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8"/>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69,533</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(924)</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70,457</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Basic and diluted earnings (loss) per common share: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Net income attributable to Kestrel common shareholders</w:t>
            </w:r>
            <w:r>
              <w:rPr>
                <w:rFonts w:ascii="Times New Roman" w:cs="Times New Roman" w:eastAsia="Times New Roman" w:hAnsi="Times New Roman"/>
                <w:sz w:val="23"/>
                <w:szCs w:val="23"/>
                <w:color w:val="auto"/>
                <w:vertAlign w:val="superscript"/>
              </w:rPr>
              <w:t>(2)</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18.80</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(0.34)</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19.14</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36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1,096</w:t>
            </w:r>
          </w:p>
        </w:tc>
        <w:tc>
          <w:tcPr>
            <w:tcW w:w="4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r>
      <w:tr>
        <w:trPr>
          <w:trHeight w:val="228"/>
        </w:trPr>
        <w:tc>
          <w:tcPr>
            <w:tcW w:w="652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2,422</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8"/>
        </w:trPr>
        <w:tc>
          <w:tcPr>
            <w:tcW w:w="65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Underwriting and fee income</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6,295</w:t>
            </w:r>
          </w:p>
        </w:tc>
        <w:tc>
          <w:tcPr>
            <w:tcW w:w="400" w:type="dxa"/>
            <w:vAlign w:val="bottom"/>
          </w:tcPr>
          <w:p>
            <w:pPr>
              <w:spacing w:after="0"/>
              <w:rPr>
                <w:sz w:val="19"/>
                <w:szCs w:val="19"/>
                <w:color w:val="auto"/>
              </w:rPr>
            </w:pPr>
          </w:p>
        </w:tc>
        <w:tc>
          <w:tcPr>
            <w:tcW w:w="12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Net investment results</w:t>
            </w:r>
            <w:r>
              <w:rPr>
                <w:rFonts w:ascii="Times New Roman" w:cs="Times New Roman" w:eastAsia="Times New Roman" w:hAnsi="Times New Roman"/>
                <w:sz w:val="23"/>
                <w:szCs w:val="23"/>
                <w:color w:val="auto"/>
                <w:vertAlign w:val="superscript"/>
              </w:rPr>
              <w:t>(9)</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2,623</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91"/>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2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Non-GAAP measures: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Non-GAAP operating earnings (loss)</w:t>
            </w:r>
            <w:r>
              <w:rPr>
                <w:rFonts w:ascii="Times New Roman" w:cs="Times New Roman" w:eastAsia="Times New Roman" w:hAnsi="Times New Roman"/>
                <w:sz w:val="23"/>
                <w:szCs w:val="23"/>
                <w:color w:val="auto"/>
                <w:vertAlign w:val="superscript"/>
              </w:rPr>
              <w:t>(1)</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ind w:right="193"/>
              <w:spacing w:after="0"/>
              <w:rPr>
                <w:sz w:val="20"/>
                <w:szCs w:val="20"/>
                <w:color w:val="auto"/>
              </w:rPr>
            </w:pPr>
            <w:r>
              <w:rPr>
                <w:rFonts w:ascii="Times New Roman" w:cs="Times New Roman" w:eastAsia="Times New Roman" w:hAnsi="Times New Roman"/>
                <w:sz w:val="18"/>
                <w:szCs w:val="18"/>
                <w:color w:val="auto"/>
              </w:rPr>
              <w:t>3,068</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ind w:right="131"/>
              <w:spacing w:after="0"/>
              <w:rPr>
                <w:sz w:val="20"/>
                <w:szCs w:val="20"/>
                <w:color w:val="auto"/>
              </w:rPr>
            </w:pPr>
            <w:r>
              <w:rPr>
                <w:rFonts w:ascii="Times New Roman" w:cs="Times New Roman" w:eastAsia="Times New Roman" w:hAnsi="Times New Roman"/>
                <w:sz w:val="18"/>
                <w:szCs w:val="18"/>
                <w:color w:val="auto"/>
              </w:rPr>
              <w:t>(924)</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3,992</w:t>
            </w:r>
          </w:p>
        </w:tc>
      </w:tr>
      <w:tr>
        <w:trPr>
          <w:trHeight w:val="228"/>
        </w:trPr>
        <w:tc>
          <w:tcPr>
            <w:tcW w:w="65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Non-GAAP basic and diluted operating earnings (loss) per common share</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0.80</w:t>
            </w:r>
          </w:p>
        </w:tc>
        <w:tc>
          <w:tcPr>
            <w:tcW w:w="40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(0.34)</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8"/>
        </w:trPr>
        <w:tc>
          <w:tcPr>
            <w:tcW w:w="6520" w:type="dxa"/>
            <w:vAlign w:val="bottom"/>
            <w:gridSpan w:val="2"/>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Annualized non-GAAP operating return on average shareholders' equity</w:t>
            </w:r>
            <w:r>
              <w:rPr>
                <w:rFonts w:ascii="Times New Roman" w:cs="Times New Roman" w:eastAsia="Times New Roman" w:hAnsi="Times New Roman"/>
                <w:sz w:val="23"/>
                <w:szCs w:val="23"/>
                <w:color w:val="auto"/>
                <w:vertAlign w:val="superscript"/>
              </w:rPr>
              <w:t>(1)</w:t>
            </w:r>
          </w:p>
        </w:tc>
        <w:tc>
          <w:tcPr>
            <w:tcW w:w="3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00" w:type="dxa"/>
            <w:vAlign w:val="bottom"/>
            <w:shd w:val="clear" w:color="auto" w:fill="CDFFCC"/>
          </w:tcPr>
          <w:p>
            <w:pPr>
              <w:spacing w:after="0"/>
              <w:rPr>
                <w:sz w:val="19"/>
                <w:szCs w:val="19"/>
                <w:color w:val="auto"/>
              </w:rPr>
            </w:pPr>
          </w:p>
        </w:tc>
        <w:tc>
          <w:tcPr>
            <w:tcW w:w="12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40" w:type="dxa"/>
            <w:vAlign w:val="bottom"/>
            <w:shd w:val="clear" w:color="auto" w:fill="CDFFCC"/>
          </w:tcPr>
          <w:p>
            <w:pPr>
              <w:spacing w:after="0"/>
              <w:rPr>
                <w:sz w:val="19"/>
                <w:szCs w:val="19"/>
                <w:color w:val="auto"/>
              </w:rPr>
            </w:pPr>
          </w:p>
        </w:tc>
        <w:tc>
          <w:tcPr>
            <w:tcW w:w="112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Pr>
          <w:p>
            <w:pPr>
              <w:spacing w:after="0"/>
              <w:rPr>
                <w:sz w:val="16"/>
                <w:szCs w:val="16"/>
                <w:color w:val="auto"/>
              </w:rPr>
            </w:pP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Financial Condition</w:t>
            </w:r>
          </w:p>
        </w:tc>
        <w:tc>
          <w:tcPr>
            <w:tcW w:w="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color w:val="auto"/>
              </w:rPr>
              <w:t>($ in thousands except per share data)</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Total investments and cash and cash equivalents</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FFCC"/>
          </w:tcPr>
          <w:p>
            <w:pPr>
              <w:jc w:val="right"/>
              <w:ind w:right="194"/>
              <w:spacing w:after="0"/>
              <w:rPr>
                <w:sz w:val="20"/>
                <w:szCs w:val="20"/>
                <w:color w:val="auto"/>
              </w:rPr>
            </w:pPr>
            <w:r>
              <w:rPr>
                <w:rFonts w:ascii="Times New Roman" w:cs="Times New Roman" w:eastAsia="Times New Roman" w:hAnsi="Times New Roman"/>
                <w:sz w:val="18"/>
                <w:szCs w:val="18"/>
                <w:color w:val="auto"/>
              </w:rPr>
              <w:t>445,938</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8"/>
                <w:szCs w:val="18"/>
                <w:color w:val="auto"/>
              </w:rPr>
              <w:t>4,286</w:t>
            </w:r>
          </w:p>
        </w:tc>
        <w:tc>
          <w:tcPr>
            <w:tcW w:w="360" w:type="dxa"/>
            <w:vAlign w:val="bottom"/>
            <w:shd w:val="clear" w:color="auto" w:fill="CCFFC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441,652</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1,159,411</w:t>
            </w:r>
          </w:p>
        </w:tc>
        <w:tc>
          <w:tcPr>
            <w:tcW w:w="200" w:type="dxa"/>
            <w:vAlign w:val="bottom"/>
          </w:tcPr>
          <w:p>
            <w:pPr>
              <w:spacing w:after="0"/>
              <w:rPr>
                <w:sz w:val="19"/>
                <w:szCs w:val="19"/>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5,510</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1,153,901</w:t>
            </w:r>
          </w:p>
        </w:tc>
        <w:tc>
          <w:tcPr>
            <w:tcW w:w="0" w:type="dxa"/>
            <w:vAlign w:val="bottom"/>
          </w:tcPr>
          <w:p>
            <w:pPr>
              <w:spacing w:after="0"/>
              <w:rPr>
                <w:sz w:val="1"/>
                <w:szCs w:val="1"/>
                <w:color w:val="auto"/>
              </w:rPr>
            </w:pPr>
          </w:p>
        </w:tc>
      </w:tr>
      <w:tr>
        <w:trPr>
          <w:trHeight w:val="228"/>
        </w:trPr>
        <w:tc>
          <w:tcPr>
            <w:tcW w:w="65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Reserve for loss and LAE</w:t>
            </w:r>
          </w:p>
        </w:tc>
        <w:tc>
          <w:tcPr>
            <w:tcW w:w="240" w:type="dxa"/>
            <w:vAlign w:val="bottom"/>
            <w:shd w:val="clear" w:color="auto" w:fill="CCFFCC"/>
          </w:tcPr>
          <w:p>
            <w:pPr>
              <w:spacing w:after="0"/>
              <w:rPr>
                <w:sz w:val="19"/>
                <w:szCs w:val="19"/>
                <w:color w:val="auto"/>
              </w:rPr>
            </w:pPr>
          </w:p>
        </w:tc>
        <w:tc>
          <w:tcPr>
            <w:tcW w:w="1380" w:type="dxa"/>
            <w:vAlign w:val="bottom"/>
            <w:shd w:val="clear" w:color="auto" w:fill="CCFFCC"/>
          </w:tcPr>
          <w:p>
            <w:pPr>
              <w:jc w:val="right"/>
              <w:ind w:right="194"/>
              <w:spacing w:after="0"/>
              <w:rPr>
                <w:sz w:val="20"/>
                <w:szCs w:val="20"/>
                <w:color w:val="auto"/>
              </w:rPr>
            </w:pPr>
            <w:r>
              <w:rPr>
                <w:rFonts w:ascii="Times New Roman" w:cs="Times New Roman" w:eastAsia="Times New Roman" w:hAnsi="Times New Roman"/>
                <w:sz w:val="18"/>
                <w:szCs w:val="18"/>
                <w:color w:val="auto"/>
              </w:rPr>
              <w:t>723,432</w:t>
            </w:r>
          </w:p>
        </w:tc>
        <w:tc>
          <w:tcPr>
            <w:tcW w:w="200" w:type="dxa"/>
            <w:vAlign w:val="bottom"/>
            <w:shd w:val="clear" w:color="auto" w:fill="CCFFCC"/>
          </w:tcPr>
          <w:p>
            <w:pPr>
              <w:spacing w:after="0"/>
              <w:rPr>
                <w:sz w:val="19"/>
                <w:szCs w:val="19"/>
                <w:color w:val="auto"/>
              </w:rPr>
            </w:pPr>
          </w:p>
        </w:tc>
        <w:tc>
          <w:tcPr>
            <w:tcW w:w="14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723,432</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 principal amount</w:t>
            </w:r>
          </w:p>
        </w:tc>
        <w:tc>
          <w:tcPr>
            <w:tcW w:w="24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262,361</w:t>
            </w:r>
          </w:p>
        </w:tc>
        <w:tc>
          <w:tcPr>
            <w:tcW w:w="200" w:type="dxa"/>
            <w:vAlign w:val="bottom"/>
          </w:tcPr>
          <w:p>
            <w:pPr>
              <w:spacing w:after="0"/>
              <w:rPr>
                <w:sz w:val="19"/>
                <w:szCs w:val="19"/>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0" w:type="dxa"/>
            <w:vAlign w:val="bottom"/>
          </w:tcPr>
          <w:p>
            <w:pPr>
              <w:spacing w:after="0"/>
              <w:rPr>
                <w:sz w:val="1"/>
                <w:szCs w:val="1"/>
                <w:color w:val="auto"/>
              </w:rPr>
            </w:pPr>
          </w:p>
        </w:tc>
      </w:tr>
      <w:tr>
        <w:trPr>
          <w:trHeight w:val="228"/>
        </w:trPr>
        <w:tc>
          <w:tcPr>
            <w:tcW w:w="652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Common shareholders' equity</w:t>
            </w:r>
          </w:p>
        </w:tc>
        <w:tc>
          <w:tcPr>
            <w:tcW w:w="240" w:type="dxa"/>
            <w:vAlign w:val="bottom"/>
            <w:shd w:val="clear" w:color="auto" w:fill="CCFFCC"/>
          </w:tcPr>
          <w:p>
            <w:pPr>
              <w:spacing w:after="0"/>
              <w:rPr>
                <w:sz w:val="19"/>
                <w:szCs w:val="19"/>
                <w:color w:val="auto"/>
              </w:rPr>
            </w:pPr>
          </w:p>
        </w:tc>
        <w:tc>
          <w:tcPr>
            <w:tcW w:w="1380" w:type="dxa"/>
            <w:vAlign w:val="bottom"/>
            <w:shd w:val="clear" w:color="auto" w:fill="CCFFCC"/>
          </w:tcPr>
          <w:p>
            <w:pPr>
              <w:jc w:val="right"/>
              <w:ind w:right="194"/>
              <w:spacing w:after="0"/>
              <w:rPr>
                <w:sz w:val="20"/>
                <w:szCs w:val="20"/>
                <w:color w:val="auto"/>
              </w:rPr>
            </w:pPr>
            <w:r>
              <w:rPr>
                <w:rFonts w:ascii="Times New Roman" w:cs="Times New Roman" w:eastAsia="Times New Roman" w:hAnsi="Times New Roman"/>
                <w:sz w:val="18"/>
                <w:szCs w:val="18"/>
                <w:color w:val="auto"/>
              </w:rPr>
              <w:t>150,085</w:t>
            </w:r>
          </w:p>
        </w:tc>
        <w:tc>
          <w:tcPr>
            <w:tcW w:w="200" w:type="dxa"/>
            <w:vAlign w:val="bottom"/>
            <w:shd w:val="clear" w:color="auto" w:fill="CCFFCC"/>
          </w:tcPr>
          <w:p>
            <w:pPr>
              <w:spacing w:after="0"/>
              <w:rPr>
                <w:sz w:val="19"/>
                <w:szCs w:val="19"/>
                <w:color w:val="auto"/>
              </w:rPr>
            </w:pPr>
          </w:p>
        </w:tc>
        <w:tc>
          <w:tcPr>
            <w:tcW w:w="14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8"/>
                <w:szCs w:val="18"/>
                <w:color w:val="auto"/>
              </w:rPr>
              <w:t>4,606</w:t>
            </w:r>
          </w:p>
        </w:tc>
        <w:tc>
          <w:tcPr>
            <w:tcW w:w="36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145,479</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Total capital resources</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412,446</w:t>
            </w:r>
          </w:p>
        </w:tc>
        <w:tc>
          <w:tcPr>
            <w:tcW w:w="200" w:type="dxa"/>
            <w:vAlign w:val="bottom"/>
          </w:tcPr>
          <w:p>
            <w:pPr>
              <w:spacing w:after="0"/>
              <w:rPr>
                <w:sz w:val="19"/>
                <w:szCs w:val="19"/>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4,606</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407,840</w:t>
            </w:r>
          </w:p>
        </w:tc>
        <w:tc>
          <w:tcPr>
            <w:tcW w:w="0" w:type="dxa"/>
            <w:vAlign w:val="bottom"/>
          </w:tcPr>
          <w:p>
            <w:pPr>
              <w:spacing w:after="0"/>
              <w:rPr>
                <w:sz w:val="1"/>
                <w:szCs w:val="1"/>
                <w:color w:val="auto"/>
              </w:rPr>
            </w:pPr>
          </w:p>
        </w:tc>
      </w:tr>
      <w:tr>
        <w:trPr>
          <w:trHeight w:val="228"/>
        </w:trPr>
        <w:tc>
          <w:tcPr>
            <w:tcW w:w="6520" w:type="dxa"/>
            <w:vAlign w:val="bottom"/>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Ratio of debt to total capital resources</w:t>
            </w:r>
            <w:r>
              <w:rPr>
                <w:rFonts w:ascii="Times New Roman" w:cs="Times New Roman" w:eastAsia="Times New Roman" w:hAnsi="Times New Roman"/>
                <w:sz w:val="23"/>
                <w:szCs w:val="23"/>
                <w:color w:val="auto"/>
                <w:vertAlign w:val="superscript"/>
              </w:rPr>
              <w:t>(8)</w:t>
            </w:r>
          </w:p>
        </w:tc>
        <w:tc>
          <w:tcPr>
            <w:tcW w:w="24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200" w:type="dxa"/>
            <w:vAlign w:val="bottom"/>
            <w:shd w:val="clear" w:color="auto" w:fill="CCFFCC"/>
          </w:tcPr>
          <w:p>
            <w:pPr>
              <w:spacing w:after="0"/>
              <w:rPr>
                <w:sz w:val="19"/>
                <w:szCs w:val="19"/>
                <w:color w:val="auto"/>
              </w:rPr>
            </w:pP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Book Value calculations: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Book value per common share</w:t>
            </w:r>
            <w:r>
              <w:rPr>
                <w:rFonts w:ascii="Times New Roman" w:cs="Times New Roman" w:eastAsia="Times New Roman" w:hAnsi="Times New Roman"/>
                <w:sz w:val="23"/>
                <w:szCs w:val="23"/>
                <w:color w:val="auto"/>
                <w:vertAlign w:val="superscript"/>
              </w:rPr>
              <w:t>(6)</w:t>
            </w: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FFCC"/>
          </w:tcPr>
          <w:p>
            <w:pPr>
              <w:jc w:val="right"/>
              <w:ind w:right="194"/>
              <w:spacing w:after="0"/>
              <w:rPr>
                <w:sz w:val="20"/>
                <w:szCs w:val="20"/>
                <w:color w:val="auto"/>
              </w:rPr>
            </w:pPr>
            <w:r>
              <w:rPr>
                <w:rFonts w:ascii="Times New Roman" w:cs="Times New Roman" w:eastAsia="Times New Roman" w:hAnsi="Times New Roman"/>
                <w:sz w:val="18"/>
                <w:szCs w:val="18"/>
                <w:color w:val="auto"/>
              </w:rPr>
              <w:t>19.39</w:t>
            </w:r>
          </w:p>
        </w:tc>
        <w:tc>
          <w:tcPr>
            <w:tcW w:w="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FFCC"/>
          </w:tcPr>
          <w:p>
            <w:pPr>
              <w:jc w:val="right"/>
              <w:ind w:right="192"/>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shd w:val="clear" w:color="auto" w:fill="CCFFC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30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book value per common share</w:t>
            </w:r>
            <w:r>
              <w:rPr>
                <w:rFonts w:ascii="Times New Roman" w:cs="Times New Roman" w:eastAsia="Times New Roman" w:hAnsi="Times New Roman"/>
                <w:sz w:val="23"/>
                <w:szCs w:val="23"/>
                <w:color w:val="auto"/>
                <w:vertAlign w:val="superscript"/>
              </w:rPr>
              <w:t>(7)</w:t>
            </w:r>
          </w:p>
        </w:tc>
        <w:tc>
          <w:tcPr>
            <w:tcW w:w="240" w:type="dxa"/>
            <w:vAlign w:val="bottom"/>
          </w:tcPr>
          <w:p>
            <w:pPr>
              <w:spacing w:after="0"/>
              <w:rPr>
                <w:sz w:val="24"/>
                <w:szCs w:val="24"/>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19.31</w:t>
            </w:r>
          </w:p>
        </w:tc>
        <w:tc>
          <w:tcPr>
            <w:tcW w:w="200" w:type="dxa"/>
            <w:vAlign w:val="bottom"/>
          </w:tcPr>
          <w:p>
            <w:pPr>
              <w:spacing w:after="0"/>
              <w:rPr>
                <w:sz w:val="24"/>
                <w:szCs w:val="24"/>
                <w:color w:val="auto"/>
              </w:rPr>
            </w:pP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bl>
    <w:p>
      <w:pPr>
        <w:spacing w:after="0" w:line="356" w:lineRule="exact"/>
        <w:rPr>
          <w:sz w:val="20"/>
          <w:szCs w:val="20"/>
          <w:color w:val="auto"/>
        </w:rPr>
      </w:pPr>
    </w:p>
    <w:p>
      <w:pPr>
        <w:ind w:left="320" w:right="20" w:hanging="313"/>
        <w:spacing w:after="0" w:line="248"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Non-GAAP operating earnings (loss), non-GAAP operating earnings (loss) per common share, and annualized non-GAAP operating return on average common shareholders' equity are non-GAAP financial measures.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ind w:left="320" w:hanging="313"/>
        <w:spacing w:after="0" w:line="259"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Please refer to "</w:t>
      </w:r>
      <w:r>
        <w:rPr>
          <w:rFonts w:ascii="Times New Roman" w:cs="Times New Roman" w:eastAsia="Times New Roman" w:hAnsi="Times New Roman"/>
          <w:sz w:val="14"/>
          <w:szCs w:val="14"/>
          <w:i w:val="1"/>
          <w:iCs w:val="1"/>
          <w:color w:val="auto"/>
        </w:rPr>
        <w:t>Notes to Condensed Consolidated Financial Statements (unaudited) Note 12. Earnings per Common Share</w:t>
      </w:r>
      <w:r>
        <w:rPr>
          <w:rFonts w:ascii="Times New Roman" w:cs="Times New Roman" w:eastAsia="Times New Roman" w:hAnsi="Times New Roman"/>
          <w:sz w:val="14"/>
          <w:szCs w:val="14"/>
          <w:color w:val="auto"/>
        </w:rPr>
        <w:t>" for the calculation of basic and diluted income (loss) per common share.</w:t>
      </w:r>
    </w:p>
    <w:p>
      <w:pPr>
        <w:spacing w:after="0" w:line="3" w:lineRule="exact"/>
        <w:rPr>
          <w:rFonts w:ascii="Times New Roman" w:cs="Times New Roman" w:eastAsia="Times New Roman" w:hAnsi="Times New Roman"/>
          <w:sz w:val="14"/>
          <w:szCs w:val="14"/>
          <w:color w:val="auto"/>
        </w:rPr>
      </w:pPr>
    </w:p>
    <w:p>
      <w:pPr>
        <w:ind w:left="320" w:hanging="313"/>
        <w:spacing w:after="0" w:line="238"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and fee income or loss is a non-GAAP measure and is calculated as net premiums earned plus fee revenue less net loss and LAE, commission and other acquisition expenses and general and administrative expenses directly related to underwriting activities.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15"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investments and cash and cash equivalents includes both restricted and unrestricted.</w:t>
      </w:r>
    </w:p>
    <w:p>
      <w:pPr>
        <w:spacing w:after="0" w:line="38"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capital resources is the sum of the Company's principal amount of debt and shareholders' equity.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26"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Book value per common share is calculated using shareholders’ equity divided by the number of common shares outstanding.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42" w:lineRule="exact"/>
        <w:rPr>
          <w:rFonts w:ascii="Times New Roman" w:cs="Times New Roman" w:eastAsia="Times New Roman" w:hAnsi="Times New Roman"/>
          <w:sz w:val="14"/>
          <w:szCs w:val="14"/>
          <w:color w:val="auto"/>
        </w:rPr>
      </w:pPr>
    </w:p>
    <w:p>
      <w:pPr>
        <w:ind w:left="320" w:hanging="313"/>
        <w:spacing w:after="0" w:line="249" w:lineRule="auto"/>
        <w:tabs>
          <w:tab w:leader="none" w:pos="3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book value per common share is calculated by dividing shareholders' equity, adjusted for assumed proceeds from the exercise of dilutive options, by the number of outstanding common shares plus dilutive options and restricted shares (assuming exercise of all dilutive share based awards). See "</w:t>
      </w:r>
      <w:r>
        <w:rPr>
          <w:rFonts w:ascii="Times New Roman" w:cs="Times New Roman" w:eastAsia="Times New Roman" w:hAnsi="Times New Roman"/>
          <w:sz w:val="14"/>
          <w:szCs w:val="14"/>
          <w:i w:val="1"/>
          <w:iCs w:val="1"/>
          <w:color w:val="auto"/>
        </w:rPr>
        <w:t>Key Financial Measures</w:t>
      </w:r>
      <w:r>
        <w:rPr>
          <w:rFonts w:ascii="Times New Roman" w:cs="Times New Roman" w:eastAsia="Times New Roman" w:hAnsi="Times New Roman"/>
          <w:sz w:val="14"/>
          <w:szCs w:val="14"/>
          <w:color w:val="auto"/>
        </w:rPr>
        <w:t>" for additional information.</w:t>
      </w:r>
    </w:p>
    <w:p>
      <w:pPr>
        <w:spacing w:after="0" w:line="1"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Ratio of debt to total capital resources is calculated using the total principal amount of debt divided by the sum of total capital resources.</w:t>
      </w:r>
    </w:p>
    <w:p>
      <w:pPr>
        <w:spacing w:after="0" w:line="40"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investment results include the sum of net investment income, net realized and unrealized gains (losses), and interest in income (loss) of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to our key financial measures presented in accordance with GAAP in the Condensed Consolidated Balance Sheets and Condensed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Consolidated Statements of Income and Comprehensive Income,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underlying trends in the Company’s business. The non-GAAP measures should not be viewed as a substitute for those determined in accordance with U.S. GAAP. The calculation of these key financial measures including the reconciliation of non-GAAP measures to the nearest GAAP measure and relevant discussions are found within </w:t>
      </w:r>
      <w:r>
        <w:rPr>
          <w:rFonts w:ascii="Times New Roman" w:cs="Times New Roman" w:eastAsia="Times New Roman" w:hAnsi="Times New Roman"/>
          <w:sz w:val="18"/>
          <w:szCs w:val="18"/>
          <w:i w:val="1"/>
          <w:iCs w:val="1"/>
          <w:color w:val="auto"/>
        </w:rPr>
        <w:t>Item 2 - "Management's Discussion and Analysis of Financial Condition - Results of Operations and Non-GAAP Measures"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are summarized as follows:</w:t>
      </w:r>
    </w:p>
    <w:p>
      <w:pPr>
        <w:spacing w:after="0" w:line="53"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Non-GAAP operating earnings (loss) and non-GAAP diluted operating earnings (loss) per common share</w:t>
      </w:r>
      <w:r>
        <w:rPr>
          <w:rFonts w:ascii="Times New Roman" w:cs="Times New Roman" w:eastAsia="Times New Roman" w:hAnsi="Times New Roman"/>
          <w:sz w:val="18"/>
          <w:szCs w:val="18"/>
          <w:color w:val="auto"/>
        </w:rPr>
        <w:t>: Management believes that the use of non-GAAP operating earnings and non-GAAP diluted operating earnings per common share enables investors and other users of the Company’s financial</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 and that the equity analysts and certain rating agencies which follow the Company, and the insurance industry as a whole, generally exclude these items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their analyses for the same reasons. Non-GAAP operating earnings should not be viewed as a substitute for U.S. GAAP net income.</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Non-GAAP operating earnings (loss) is an internal performance measure used by management as these measures focus on the underlying fundamentals of the Company's operations by excluding, on a recurring basis: (1) net realized investment gains (losses); (2) foreign exchange and other gains (losses); and</w:t>
      </w:r>
    </w:p>
    <w:p>
      <w:pPr>
        <w:spacing w:after="0" w:line="1" w:lineRule="exact"/>
        <w:rPr>
          <w:sz w:val="20"/>
          <w:szCs w:val="20"/>
          <w:color w:val="auto"/>
        </w:rPr>
      </w:pPr>
    </w:p>
    <w:p>
      <w:pPr>
        <w:jc w:val="both"/>
        <w:ind w:firstLine="7"/>
        <w:spacing w:after="0" w:line="212" w:lineRule="auto"/>
        <w:tabs>
          <w:tab w:leader="none" w:pos="2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income (loss) of equity method investments. It also excludes on a non-recurring basis: (1) loss from discontinued operations, net of income tax and; (2) the bargain purchase gain resulting from the Combination Agreement, and (3) the change in the fair value of the earn out liability. We excluded net realized investment gains (losses), interest in income (loss) of equity method investments and foreign exchange and other gains (losses) as we believe these are influenced by market opportunities and other factors. We do not believe the net loss from our discontinued operations, the bargain purchase gain on the Combination Agreement, and the change in fair value of the earn out liability are representative of our ongoing and future business.We believe all of these amounts are substantially independent of our business and any potential future underwriting process, therefore their inclusion would distort the analysis of underlying trends in our operations.</w:t>
      </w:r>
    </w:p>
    <w:p>
      <w:pPr>
        <w:spacing w:after="0" w:line="52"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i w:val="1"/>
          <w:iCs w:val="1"/>
          <w:color w:val="auto"/>
        </w:rPr>
        <w:t xml:space="preserve">Underwriting and fee income </w:t>
      </w:r>
      <w:r>
        <w:rPr>
          <w:rFonts w:ascii="Times New Roman" w:cs="Times New Roman" w:eastAsia="Times New Roman" w:hAnsi="Times New Roman"/>
          <w:sz w:val="18"/>
          <w:szCs w:val="18"/>
          <w:color w:val="auto"/>
        </w:rPr>
        <w:t>is a non-GAAP measure and is calculated as net premiums earned plus other insurance revenue less net loss and LAE,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and other acquisition expenses and general and administrative expenses directly related to underwriting activities. For purposes of these non-</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GAAP operating measures, the fee-generating business which is included in our Program Services segment, is considered part of the underwriting operations of the Company. Management believes that this measure is important in evaluating the underwriting performance of the Company and its segments. This measure is also a useful tool to measure the profitability of the Company separately from the investment results and is also a widely used performance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indicator in the insurance industry. A reconciliation of the Company's underwriting results can be found in the Condensed Consolidated Financial Statements in the "</w:t>
      </w:r>
      <w:r>
        <w:rPr>
          <w:rFonts w:ascii="Times New Roman" w:cs="Times New Roman" w:eastAsia="Times New Roman" w:hAnsi="Times New Roman"/>
          <w:sz w:val="18"/>
          <w:szCs w:val="18"/>
          <w:i w:val="1"/>
          <w:iCs w:val="1"/>
          <w:color w:val="auto"/>
        </w:rPr>
        <w:t>Notes to Condensed Consolidated Financial Statements (unaudited) Note 3. Segment Information</w:t>
      </w:r>
      <w:r>
        <w:rPr>
          <w:rFonts w:ascii="Times New Roman" w:cs="Times New Roman" w:eastAsia="Times New Roman" w:hAnsi="Times New Roman"/>
          <w:sz w:val="18"/>
          <w:szCs w:val="18"/>
          <w:color w:val="auto"/>
        </w:rPr>
        <w:t xml:space="preserve">" included under </w:t>
      </w:r>
      <w:r>
        <w:rPr>
          <w:rFonts w:ascii="Times New Roman" w:cs="Times New Roman" w:eastAsia="Times New Roman" w:hAnsi="Times New Roman"/>
          <w:sz w:val="18"/>
          <w:szCs w:val="18"/>
          <w:i w:val="1"/>
          <w:iCs w:val="1"/>
          <w:color w:val="auto"/>
        </w:rPr>
        <w:t>Item 1. "Financial Statements"</w:t>
      </w:r>
      <w:r>
        <w:rPr>
          <w:rFonts w:ascii="Times New Roman" w:cs="Times New Roman" w:eastAsia="Times New Roman" w:hAnsi="Times New Roman"/>
          <w:sz w:val="18"/>
          <w:szCs w:val="18"/>
          <w:color w:val="auto"/>
        </w:rPr>
        <w:t xml:space="preserve"> of this Quarterly Report on Form 10-Q.</w:t>
      </w:r>
    </w:p>
    <w:p>
      <w:pPr>
        <w:spacing w:after="0" w:line="62" w:lineRule="exact"/>
        <w:rPr>
          <w:sz w:val="20"/>
          <w:szCs w:val="20"/>
          <w:color w:val="auto"/>
        </w:rPr>
      </w:pPr>
    </w:p>
    <w:p>
      <w:pPr>
        <w:jc w:val="both"/>
        <w:ind w:firstLine="201"/>
        <w:spacing w:after="0" w:line="211" w:lineRule="auto"/>
        <w:rPr>
          <w:sz w:val="20"/>
          <w:szCs w:val="20"/>
          <w:color w:val="auto"/>
        </w:rPr>
      </w:pPr>
      <w:r>
        <w:rPr>
          <w:rFonts w:ascii="Times New Roman" w:cs="Times New Roman" w:eastAsia="Times New Roman" w:hAnsi="Times New Roman"/>
          <w:sz w:val="18"/>
          <w:szCs w:val="18"/>
          <w:color w:val="auto"/>
        </w:rPr>
        <w:t>The Company does not present certain non-GAAP measures such as combined ratio and its related components in this Quarterly Report on Form 10-Q for the three and six months ended June 30, 2025, as it believes that as the run-off of our reinsurance portfolios progresses, such ratios are increasingly not meaningful and of little value to readers as they evaluate the financial results of the Company. While an important metric of success, underwriting and fee income does not reflect all components of profitability, as it does not recognize the impact of investment income earned on premiums between the time</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premiums are received and the time loss payments are ultimately paid to clients. Because we do not manage our cash and investments by segment, investment income and interest expense are not allocated to the reportable segments. Certain general and administrative expenses are generally allocated to segments based on actual costs incurred.</w:t>
      </w:r>
    </w:p>
    <w:p>
      <w:pPr>
        <w:spacing w:after="0" w:line="60" w:lineRule="exact"/>
        <w:rPr>
          <w:sz w:val="20"/>
          <w:szCs w:val="20"/>
          <w:color w:val="auto"/>
        </w:rPr>
      </w:pPr>
    </w:p>
    <w:p>
      <w:pPr>
        <w:jc w:val="both"/>
        <w:ind w:firstLine="282"/>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Non-GAAP Operating Return on Average Shareholders' Equity ("Non-GAAP Operating ROACE"): </w:t>
      </w:r>
      <w:r>
        <w:rPr>
          <w:rFonts w:ascii="Times New Roman" w:cs="Times New Roman" w:eastAsia="Times New Roman" w:hAnsi="Times New Roman"/>
          <w:sz w:val="18"/>
          <w:szCs w:val="18"/>
          <w:color w:val="auto"/>
        </w:rPr>
        <w:t>Management uses non-GAAP operating return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shareholders' equity as a measure of profitability that focuses on the return to common shareholders. It is calculated using non-GAAP operating earnings (loss) available to common shareholders (as defined above) divided by average shareholders' equity.</w:t>
      </w:r>
    </w:p>
    <w:p>
      <w:pPr>
        <w:spacing w:after="0" w:line="61" w:lineRule="exact"/>
        <w:rPr>
          <w:sz w:val="20"/>
          <w:szCs w:val="20"/>
          <w:color w:val="auto"/>
        </w:rPr>
      </w:pPr>
    </w:p>
    <w:p>
      <w:pPr>
        <w:jc w:val="both"/>
        <w:ind w:firstLine="241"/>
        <w:spacing w:after="0" w:line="228" w:lineRule="auto"/>
        <w:rPr>
          <w:sz w:val="20"/>
          <w:szCs w:val="20"/>
          <w:color w:val="auto"/>
        </w:rPr>
      </w:pPr>
      <w:r>
        <w:rPr>
          <w:rFonts w:ascii="Times New Roman" w:cs="Times New Roman" w:eastAsia="Times New Roman" w:hAnsi="Times New Roman"/>
          <w:sz w:val="17"/>
          <w:szCs w:val="17"/>
          <w:i w:val="1"/>
          <w:iCs w:val="1"/>
          <w:color w:val="auto"/>
        </w:rPr>
        <w:t xml:space="preserve">Book Value per Common Share and Diluted Book Value per Common Share: </w:t>
      </w:r>
      <w:r>
        <w:rPr>
          <w:rFonts w:ascii="Times New Roman" w:cs="Times New Roman" w:eastAsia="Times New Roman" w:hAnsi="Times New Roman"/>
          <w:sz w:val="17"/>
          <w:szCs w:val="17"/>
          <w:color w:val="auto"/>
        </w:rPr>
        <w:t>Book value per common share and diluted book value per common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non-GAAP measures. Management uses growth in both of these metrics as a prime measure of the value we are generating for our common shareholders, because management believes that growth in each metric ultimately results in growth in the Company’s common share price. These metrics are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impacted by the Company’s net income and external factors, such as interest rates, which can drive changes in unrealized gains or losses on our fixed income investment portfolio, as well as common share repurchases.</w:t>
      </w:r>
    </w:p>
    <w:p>
      <w:pPr>
        <w:spacing w:after="0" w:line="47" w:lineRule="exact"/>
        <w:rPr>
          <w:sz w:val="20"/>
          <w:szCs w:val="20"/>
          <w:color w:val="auto"/>
        </w:rPr>
      </w:pPr>
    </w:p>
    <w:p>
      <w:pPr>
        <w:jc w:val="both"/>
        <w:ind w:firstLine="241"/>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Ratio of Debt to Total Capital Resources: </w:t>
      </w:r>
      <w:r>
        <w:rPr>
          <w:rFonts w:ascii="Times New Roman" w:cs="Times New Roman" w:eastAsia="Times New Roman" w:hAnsi="Times New Roman"/>
          <w:sz w:val="18"/>
          <w:szCs w:val="18"/>
          <w:color w:val="auto"/>
        </w:rPr>
        <w:t>Management uses this non-GAAP measure to monitor the financial leverage of the Company. This measure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using the total principal amount of debt divided by the sum of total capital resources.</w:t>
      </w:r>
    </w:p>
    <w:p>
      <w:pPr>
        <w:spacing w:after="0" w:line="38" w:lineRule="exact"/>
        <w:rPr>
          <w:sz w:val="20"/>
          <w:szCs w:val="20"/>
          <w:color w:val="auto"/>
        </w:rPr>
      </w:pPr>
    </w:p>
    <w:p>
      <w:pPr>
        <w:jc w:val="both"/>
        <w:ind w:firstLine="241"/>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Alternative investments </w:t>
      </w:r>
      <w:r>
        <w:rPr>
          <w:rFonts w:ascii="Times New Roman" w:cs="Times New Roman" w:eastAsia="Times New Roman" w:hAnsi="Times New Roman"/>
          <w:sz w:val="18"/>
          <w:szCs w:val="18"/>
          <w:color w:val="auto"/>
        </w:rPr>
        <w:t>is the total of the Company's holdings of equity securities, other investments and equity method investments as reported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Condensed Consolidated Balance Sheets.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7" w:lineRule="exact"/>
        <w:rPr>
          <w:sz w:val="20"/>
          <w:szCs w:val="20"/>
          <w:color w:val="auto"/>
        </w:rPr>
      </w:pPr>
    </w:p>
    <w:p>
      <w:pPr>
        <w:jc w:val="both"/>
        <w:ind w:right="20" w:firstLine="241"/>
        <w:spacing w:after="0" w:line="237" w:lineRule="auto"/>
        <w:rPr>
          <w:sz w:val="20"/>
          <w:szCs w:val="20"/>
          <w:color w:val="auto"/>
        </w:rPr>
      </w:pPr>
      <w:r>
        <w:rPr>
          <w:rFonts w:ascii="Times New Roman" w:cs="Times New Roman" w:eastAsia="Times New Roman" w:hAnsi="Times New Roman"/>
          <w:sz w:val="18"/>
          <w:szCs w:val="18"/>
          <w:color w:val="auto"/>
        </w:rPr>
        <w:t>The critical accounting policies and estimates should be read in conjunction with "</w:t>
      </w:r>
      <w:r>
        <w:rPr>
          <w:rFonts w:ascii="Times New Roman" w:cs="Times New Roman" w:eastAsia="Times New Roman" w:hAnsi="Times New Roman"/>
          <w:sz w:val="18"/>
          <w:szCs w:val="18"/>
          <w:i w:val="1"/>
          <w:iCs w:val="1"/>
          <w:color w:val="auto"/>
        </w:rPr>
        <w:t>Part I, Item 1 - 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(unaudited) Note 2. Significant Accounting Policies</w:t>
      </w:r>
      <w:r>
        <w:rPr>
          <w:rFonts w:ascii="Times New Roman" w:cs="Times New Roman" w:eastAsia="Times New Roman" w:hAnsi="Times New Roman"/>
          <w:sz w:val="18"/>
          <w:szCs w:val="18"/>
          <w:color w:val="auto"/>
        </w:rPr>
        <w:t>" included in this Form 10-Q.</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following table sets forth our selected unaudited Condensed Consolidated Statement of Income data for the three and six months ended June 30,</w:t>
      </w:r>
    </w:p>
    <w:p>
      <w:pPr>
        <w:spacing w:after="0"/>
        <w:rPr>
          <w:sz w:val="20"/>
          <w:szCs w:val="20"/>
          <w:color w:val="auto"/>
        </w:rPr>
      </w:pPr>
      <w:r>
        <w:rPr>
          <w:rFonts w:ascii="Times New Roman" w:cs="Times New Roman" w:eastAsia="Times New Roman" w:hAnsi="Times New Roman"/>
          <w:sz w:val="18"/>
          <w:szCs w:val="18"/>
          <w:color w:val="auto"/>
        </w:rPr>
        <w:t>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00" w:type="dxa"/>
            <w:vAlign w:val="bottom"/>
            <w:tcBorders>
              <w:bottom w:val="single" w:sz="8" w:color="CCFFCC"/>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3"/>
        </w:trPr>
        <w:tc>
          <w:tcPr>
            <w:tcW w:w="520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Gross premiums written</w:t>
            </w:r>
          </w:p>
        </w:tc>
        <w:tc>
          <w:tcPr>
            <w:tcW w:w="220" w:type="dxa"/>
            <w:vAlign w:val="bottom"/>
            <w:tcBorders>
              <w:bottom w:val="single" w:sz="8" w:color="auto"/>
            </w:tcBorders>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FFCC"/>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Net premiums written</w:t>
            </w:r>
          </w:p>
        </w:tc>
        <w:tc>
          <w:tcPr>
            <w:tcW w:w="220" w:type="dxa"/>
            <w:vAlign w:val="bottom"/>
            <w:tcBorders>
              <w:top w:val="single" w:sz="8" w:color="CCFFCC"/>
            </w:tcBorders>
          </w:tcPr>
          <w:p>
            <w:pPr>
              <w:spacing w:after="0" w:line="20" w:lineRule="exact"/>
              <w:rPr>
                <w:sz w:val="1"/>
                <w:szCs w:val="1"/>
                <w:color w:val="auto"/>
              </w:rPr>
            </w:pPr>
          </w:p>
        </w:tc>
        <w:tc>
          <w:tcPr>
            <w:tcW w:w="12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220" w:type="dxa"/>
            <w:vAlign w:val="bottom"/>
            <w:tcBorders>
              <w:top w:val="single" w:sz="8" w:color="CCFFCC"/>
            </w:tcBorders>
            <w:gridSpan w:val="2"/>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18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0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00" w:type="dxa"/>
            <w:vAlign w:val="bottom"/>
            <w:tcBorders>
              <w:top w:val="single" w:sz="8" w:color="CCFFCC"/>
              <w:bottom w:val="single" w:sz="8" w:color="CCFFCC"/>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1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1,095</w:t>
            </w:r>
          </w:p>
        </w:tc>
        <w:tc>
          <w:tcPr>
            <w:tcW w:w="120" w:type="dxa"/>
            <w:vAlign w:val="bottom"/>
            <w:tcBorders>
              <w:bottom w:val="single" w:sz="8" w:color="CCFFC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bottom w:val="single" w:sz="8" w:color="CCFFC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Fee revenue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loss and LAE</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line="228"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FFCC"/>
          </w:tcPr>
          <w:p>
            <w:pPr>
              <w:spacing w:after="0"/>
              <w:rPr>
                <w:sz w:val="19"/>
                <w:szCs w:val="19"/>
                <w:color w:val="auto"/>
              </w:rPr>
            </w:pPr>
          </w:p>
        </w:tc>
        <w:tc>
          <w:tcPr>
            <w:tcW w:w="24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1"/>
        </w:trPr>
        <w:tc>
          <w:tcPr>
            <w:tcW w:w="5200" w:type="dxa"/>
            <w:vAlign w:val="bottom"/>
          </w:tcPr>
          <w:p>
            <w:pPr>
              <w:ind w:left="60"/>
              <w:spacing w:after="0" w:line="221" w:lineRule="exact"/>
              <w:rPr>
                <w:sz w:val="20"/>
                <w:szCs w:val="20"/>
                <w:color w:val="auto"/>
              </w:rPr>
            </w:pPr>
            <w:r>
              <w:rPr>
                <w:rFonts w:ascii="Times New Roman" w:cs="Times New Roman" w:eastAsia="Times New Roman" w:hAnsi="Times New Roman"/>
                <w:sz w:val="18"/>
                <w:szCs w:val="18"/>
                <w:b w:val="1"/>
                <w:bCs w:val="1"/>
                <w:color w:val="auto"/>
              </w:rPr>
              <w:t>Underwriting &amp; fee income</w:t>
            </w:r>
            <w:r>
              <w:rPr>
                <w:rFonts w:ascii="Times New Roman" w:cs="Times New Roman" w:eastAsia="Times New Roman" w:hAnsi="Times New Roman"/>
                <w:sz w:val="23"/>
                <w:szCs w:val="23"/>
                <w:b w:val="1"/>
                <w:bCs w:val="1"/>
                <w:color w:val="auto"/>
                <w:vertAlign w:val="superscript"/>
              </w:rPr>
              <w:t>(2)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line="228" w:lineRule="exact"/>
              <w:rPr>
                <w:sz w:val="20"/>
                <w:szCs w:val="20"/>
                <w:color w:val="auto"/>
              </w:rPr>
            </w:pPr>
            <w:r>
              <w:rPr>
                <w:rFonts w:ascii="Times New Roman" w:cs="Times New Roman" w:eastAsia="Times New Roman" w:hAnsi="Times New Roman"/>
                <w:sz w:val="18"/>
                <w:szCs w:val="18"/>
                <w:color w:val="auto"/>
              </w:rPr>
              <w:t>Other general and administrative expenses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Gain on bargain purchase</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Interest and amortization expenses</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Borders>
              <w:top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20" w:type="dxa"/>
            <w:vAlign w:val="bottom"/>
            <w:tcBorders>
              <w:top w:val="single" w:sz="8" w:color="auto"/>
            </w:tcBorders>
            <w:shd w:val="clear" w:color="auto" w:fill="CCFFCC"/>
          </w:tcPr>
          <w:p>
            <w:pPr>
              <w:spacing w:after="0"/>
              <w:rPr>
                <w:sz w:val="19"/>
                <w:szCs w:val="19"/>
                <w:color w:val="auto"/>
              </w:rPr>
            </w:pPr>
          </w:p>
        </w:tc>
        <w:tc>
          <w:tcPr>
            <w:tcW w:w="12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70,422</w:t>
            </w:r>
          </w:p>
        </w:tc>
        <w:tc>
          <w:tcPr>
            <w:tcW w:w="120" w:type="dxa"/>
            <w:vAlign w:val="bottom"/>
            <w:tcBorders>
              <w:top w:val="single" w:sz="8" w:color="CCFFCC"/>
            </w:tcBorders>
            <w:shd w:val="clear" w:color="auto" w:fill="CCFFCC"/>
          </w:tcPr>
          <w:p>
            <w:pPr>
              <w:spacing w:after="0"/>
              <w:rPr>
                <w:sz w:val="19"/>
                <w:szCs w:val="19"/>
                <w:color w:val="auto"/>
              </w:rPr>
            </w:pPr>
          </w:p>
        </w:tc>
        <w:tc>
          <w:tcPr>
            <w:tcW w:w="340" w:type="dxa"/>
            <w:vAlign w:val="bottom"/>
            <w:tcBorders>
              <w:top w:val="single" w:sz="8" w:color="auto"/>
            </w:tcBorders>
            <w:shd w:val="clear" w:color="auto" w:fill="CCFFCC"/>
          </w:tcPr>
          <w:p>
            <w:pPr>
              <w:spacing w:after="0"/>
              <w:rPr>
                <w:sz w:val="19"/>
                <w:szCs w:val="19"/>
                <w:color w:val="auto"/>
              </w:rPr>
            </w:pP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top w:val="single" w:sz="8" w:color="CCFFCC"/>
            </w:tcBorders>
            <w:shd w:val="clear" w:color="auto" w:fill="CCFFCC"/>
          </w:tcPr>
          <w:p>
            <w:pPr>
              <w:spacing w:after="0"/>
              <w:rPr>
                <w:sz w:val="19"/>
                <w:szCs w:val="19"/>
                <w:color w:val="auto"/>
              </w:rPr>
            </w:pPr>
          </w:p>
        </w:tc>
        <w:tc>
          <w:tcPr>
            <w:tcW w:w="240" w:type="dxa"/>
            <w:vAlign w:val="bottom"/>
            <w:tcBorders>
              <w:top w:val="single" w:sz="8" w:color="auto"/>
            </w:tcBorders>
            <w:shd w:val="clear" w:color="auto" w:fill="CCFFCC"/>
          </w:tcPr>
          <w:p>
            <w:pPr>
              <w:spacing w:after="0"/>
              <w:rPr>
                <w:sz w:val="19"/>
                <w:szCs w:val="19"/>
                <w:color w:val="auto"/>
              </w:rPr>
            </w:pPr>
          </w:p>
        </w:tc>
        <w:tc>
          <w:tcPr>
            <w:tcW w:w="11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70,028</w:t>
            </w:r>
          </w:p>
        </w:tc>
        <w:tc>
          <w:tcPr>
            <w:tcW w:w="100" w:type="dxa"/>
            <w:vAlign w:val="bottom"/>
            <w:tcBorders>
              <w:top w:val="single" w:sz="8" w:color="CCFFCC"/>
            </w:tcBorders>
            <w:shd w:val="clear" w:color="auto" w:fill="CCFFCC"/>
          </w:tcPr>
          <w:p>
            <w:pPr>
              <w:spacing w:after="0"/>
              <w:rPr>
                <w:sz w:val="19"/>
                <w:szCs w:val="19"/>
                <w:color w:val="auto"/>
              </w:rPr>
            </w:pPr>
          </w:p>
        </w:tc>
        <w:tc>
          <w:tcPr>
            <w:tcW w:w="340" w:type="dxa"/>
            <w:vAlign w:val="bottom"/>
            <w:tcBorders>
              <w:top w:val="single" w:sz="8" w:color="auto"/>
            </w:tcBorders>
            <w:shd w:val="clear" w:color="auto" w:fill="CCFFCC"/>
          </w:tcPr>
          <w:p>
            <w:pPr>
              <w:spacing w:after="0"/>
              <w:rPr>
                <w:sz w:val="19"/>
                <w:szCs w:val="19"/>
                <w:color w:val="auto"/>
              </w:rPr>
            </w:pPr>
          </w:p>
        </w:tc>
        <w:tc>
          <w:tcPr>
            <w:tcW w:w="108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6"/>
        </w:trPr>
        <w:tc>
          <w:tcPr>
            <w:tcW w:w="5200" w:type="dxa"/>
            <w:vAlign w:val="bottom"/>
            <w:tcBorders>
              <w:top w:val="single" w:sz="8" w:color="CCFFCC"/>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20" w:type="dxa"/>
            <w:vAlign w:val="bottom"/>
            <w:tcBorders>
              <w:top w:val="single" w:sz="8" w:color="auto"/>
              <w:bottom w:val="single" w:sz="8" w:color="auto"/>
            </w:tcBorders>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69,927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340" w:type="dxa"/>
            <w:vAlign w:val="bottom"/>
            <w:tcBorders>
              <w:top w:val="single" w:sz="8" w:color="auto"/>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40" w:type="dxa"/>
            <w:vAlign w:val="bottom"/>
            <w:tcBorders>
              <w:top w:val="single" w:sz="8" w:color="auto"/>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69,533</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40" w:type="dxa"/>
            <w:vAlign w:val="bottom"/>
            <w:tcBorders>
              <w:top w:val="single" w:sz="8" w:color="auto"/>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0"/>
        </w:trPr>
        <w:tc>
          <w:tcPr>
            <w:tcW w:w="52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400" w:hanging="312"/>
        <w:spacing w:after="0" w:line="223" w:lineRule="auto"/>
        <w:tabs>
          <w:tab w:leader="none" w:pos="3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Underwriting and fee income related general and administrative expenses is a non-GAAP measure. Please refer to </w:t>
      </w:r>
      <w:r>
        <w:rPr>
          <w:rFonts w:ascii="Times New Roman" w:cs="Times New Roman" w:eastAsia="Times New Roman" w:hAnsi="Times New Roman"/>
          <w:sz w:val="14"/>
          <w:szCs w:val="14"/>
          <w:i w:val="1"/>
          <w:iCs w:val="1"/>
          <w:color w:val="auto"/>
        </w:rPr>
        <w:t>"General and Administrative Expenses"</w:t>
      </w:r>
      <w:r>
        <w:rPr>
          <w:rFonts w:ascii="Times New Roman" w:cs="Times New Roman" w:eastAsia="Times New Roman" w:hAnsi="Times New Roman"/>
          <w:sz w:val="14"/>
          <w:szCs w:val="14"/>
          <w:color w:val="auto"/>
        </w:rPr>
        <w:t xml:space="preserve"> below for additional information related to these corporate expenses and the reconciliation to those presented in our unaudited Condensed Consolidated Statements of Income.</w:t>
      </w:r>
    </w:p>
    <w:p>
      <w:pPr>
        <w:ind w:left="400" w:hanging="312"/>
        <w:spacing w:after="0" w:line="209" w:lineRule="auto"/>
        <w:tabs>
          <w:tab w:leader="none" w:pos="3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and fee income is a non-GAAP measure and is calculated as net premiums earned plus fee revenue less net loss and LAE, commission and other acquisition expenses and general and administrative expenses directly related to underwriting activities.</w:t>
      </w:r>
    </w:p>
    <w:p>
      <w:pPr>
        <w:spacing w:after="0" w:line="1" w:lineRule="exact"/>
        <w:rPr>
          <w:rFonts w:ascii="Times New Roman" w:cs="Times New Roman" w:eastAsia="Times New Roman" w:hAnsi="Times New Roman"/>
          <w:sz w:val="14"/>
          <w:szCs w:val="14"/>
          <w:color w:val="auto"/>
        </w:rPr>
      </w:pPr>
    </w:p>
    <w:p>
      <w:pPr>
        <w:ind w:left="400" w:hanging="312"/>
        <w:spacing w:after="0" w:line="236" w:lineRule="auto"/>
        <w:tabs>
          <w:tab w:leader="none" w:pos="39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present certain non-GAAP measures such as combined ratio and its related components in its results of operation, as it believes that as the run-off of its reinsurance portfolios progresses, such ratios are increasingly not meaningful and of less value to readers as they evaluate our financial results.</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79"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As a result of the completion of the Combination Agreement on May 27, 2025, the Company acquired Maiden's operations, which includes significant underwriting and investment activities, along with operating expenses and interest expense associated with Maiden's debt. Maiden's results of operations are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reported herein for the period May 28, 2025 to June 30, 2025 and significantly impact the comparisons between periods for both the three and six months ended in 2024. Because the prior year period results of operations do not include the operations of Maiden, the year-over-year comparisons are generally not directly comparable.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for the three months ended June 30, 2025</w:t>
      </w:r>
    </w:p>
    <w:p>
      <w:pPr>
        <w:spacing w:after="0" w:line="7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Net income for the three months ended June 30, 2025 was $69.9 million compared to a net loss of $0.5 million for the same respective period in 2024. Net income for the three months ended June 30, 2025 was substantially the result of the gain on bargain purchase of $73.6 million which was related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completion of the Combination on May 27, 2025 as discussed in </w:t>
      </w:r>
      <w:r>
        <w:rPr>
          <w:rFonts w:ascii="Times New Roman" w:cs="Times New Roman" w:eastAsia="Times New Roman" w:hAnsi="Times New Roman"/>
          <w:sz w:val="18"/>
          <w:szCs w:val="18"/>
          <w:i w:val="1"/>
          <w:iCs w:val="1"/>
          <w:color w:val="auto"/>
        </w:rPr>
        <w:t>Note 15. Business Combination</w:t>
      </w:r>
      <w:r>
        <w:rPr>
          <w:rFonts w:ascii="Times New Roman" w:cs="Times New Roman" w:eastAsia="Times New Roman" w:hAnsi="Times New Roman"/>
          <w:sz w:val="18"/>
          <w:szCs w:val="18"/>
          <w:color w:val="auto"/>
        </w:rPr>
        <w:t xml:space="preserve"> included in Part 1. Item 1. Financial Information.</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Excluding the gain on bargain purchase, net loss was $3.7 million for the three months ended June 30, 2025 compared to net loss of $0.5 million for the same period in 2024. Increases in underwriting and fee income as well as investment income were more than offset by higher operating and interest expense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along with foreign exchange losses. The change in our financial results for the second quarter of 2025 compared to the second quarter of 2024 was primarily due to the following factors:</w:t>
      </w:r>
    </w:p>
    <w:p>
      <w:pPr>
        <w:spacing w:after="0" w:line="237" w:lineRule="exact"/>
        <w:rPr>
          <w:sz w:val="20"/>
          <w:szCs w:val="20"/>
          <w:color w:val="auto"/>
        </w:rPr>
      </w:pPr>
    </w:p>
    <w:p>
      <w:pPr>
        <w:ind w:left="660" w:hanging="170"/>
        <w:spacing w:after="0" w:line="23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and fee income of $6.1 million for the three months ended June 30, 2025 compared to $0.0 million in the same period in 2024 largely due to:</w:t>
      </w:r>
    </w:p>
    <w:p>
      <w:pPr>
        <w:spacing w:after="0" w:line="62" w:lineRule="exact"/>
        <w:rPr>
          <w:rFonts w:ascii="Times New Roman" w:cs="Times New Roman" w:eastAsia="Times New Roman" w:hAnsi="Times New Roman"/>
          <w:sz w:val="18"/>
          <w:szCs w:val="18"/>
          <w:color w:val="auto"/>
        </w:rPr>
      </w:pPr>
    </w:p>
    <w:p>
      <w:pPr>
        <w:ind w:left="1300" w:hanging="167"/>
        <w:spacing w:after="0" w:line="236" w:lineRule="auto"/>
        <w:tabs>
          <w:tab w:leader="none" w:pos="12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prior year loss development ("PPD") in our Legacy Reinsurance segment of $7.8 million in the second quarter of 2025 compared to adverse PPD of $0.0 million during the same period in 2024, detailed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58" w:name="page59"/>
    <w:bookmarkEnd w:id="58"/>
    <w:p>
      <w:pPr>
        <w:ind w:left="1940" w:hanging="163"/>
        <w:spacing w:after="0"/>
        <w:tabs>
          <w:tab w:leader="none" w:pos="19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AmTrust Reinsurance Legacy business experienced favorable PPD of $7.9 million in the second quarter of 2025.</w:t>
      </w:r>
    </w:p>
    <w:p>
      <w:pPr>
        <w:spacing w:after="0" w:line="74" w:lineRule="exact"/>
        <w:rPr>
          <w:rFonts w:ascii="Times New Roman" w:cs="Times New Roman" w:eastAsia="Times New Roman" w:hAnsi="Times New Roman"/>
          <w:sz w:val="18"/>
          <w:szCs w:val="18"/>
          <w:color w:val="auto"/>
        </w:rPr>
      </w:pPr>
    </w:p>
    <w:p>
      <w:pPr>
        <w:ind w:left="1940" w:hanging="163"/>
        <w:spacing w:after="0"/>
        <w:tabs>
          <w:tab w:leader="none" w:pos="194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Diversified Reinsurance Legacy business experienced adverse PPD of $0.1 million in the second quarter of 2025.</w:t>
      </w:r>
    </w:p>
    <w:p>
      <w:pPr>
        <w:spacing w:after="0" w:line="87" w:lineRule="exact"/>
        <w:rPr>
          <w:rFonts w:ascii="Times New Roman" w:cs="Times New Roman" w:eastAsia="Times New Roman" w:hAnsi="Times New Roman"/>
          <w:sz w:val="18"/>
          <w:szCs w:val="18"/>
          <w:color w:val="auto"/>
        </w:rPr>
      </w:pPr>
    </w:p>
    <w:p>
      <w:pPr>
        <w:ind w:left="1940" w:hanging="163"/>
        <w:spacing w:after="0" w:line="236" w:lineRule="auto"/>
        <w:tabs>
          <w:tab w:leader="none" w:pos="1935"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current accident year basis, underwriting loss for the Legacy Reinsurance segment was $1.5 million for the three months ended June 30, 2025.</w:t>
      </w:r>
    </w:p>
    <w:p>
      <w:pPr>
        <w:spacing w:after="0" w:line="48" w:lineRule="exact"/>
        <w:rPr>
          <w:rFonts w:ascii="Times New Roman" w:cs="Times New Roman" w:eastAsia="Times New Roman" w:hAnsi="Times New Roman"/>
          <w:sz w:val="18"/>
          <w:szCs w:val="18"/>
          <w:color w:val="auto"/>
        </w:rPr>
      </w:pPr>
    </w:p>
    <w:p>
      <w:pPr>
        <w:jc w:val="both"/>
        <w:ind w:left="1300" w:hanging="167"/>
        <w:spacing w:after="0" w:line="230" w:lineRule="auto"/>
        <w:tabs>
          <w:tab w:leader="none" w:pos="12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Services segment produced a loss of $0.2 million for the three months ended June 30, 2025 compared to loss of $12.0 thousand for the same period in 2024. Fee revenue decreased to $0.5 million for the three months ended June 30, 2025 compared to $0.6 million for the same period in 2024.</w:t>
      </w:r>
    </w:p>
    <w:p>
      <w:pPr>
        <w:spacing w:after="0" w:line="48" w:lineRule="exact"/>
        <w:rPr>
          <w:rFonts w:ascii="Times New Roman" w:cs="Times New Roman" w:eastAsia="Times New Roman" w:hAnsi="Times New Roman"/>
          <w:sz w:val="18"/>
          <w:szCs w:val="18"/>
          <w:color w:val="auto"/>
        </w:rPr>
      </w:pPr>
    </w:p>
    <w:p>
      <w:pPr>
        <w:ind w:left="660" w:hanging="170"/>
        <w:spacing w:after="0" w:line="24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income from investment activities totaled $2.6 million for the three months ended June 30, 2025 compared to $0.1 million for the same period in 2024 primarily due to the following:</w:t>
      </w:r>
    </w:p>
    <w:p>
      <w:pPr>
        <w:spacing w:after="0" w:line="41" w:lineRule="exact"/>
        <w:rPr>
          <w:rFonts w:ascii="Times New Roman" w:cs="Times New Roman" w:eastAsia="Times New Roman" w:hAnsi="Times New Roman"/>
          <w:sz w:val="18"/>
          <w:szCs w:val="18"/>
          <w:color w:val="auto"/>
        </w:rPr>
      </w:pPr>
    </w:p>
    <w:p>
      <w:pPr>
        <w:ind w:left="1300" w:hanging="167"/>
        <w:spacing w:after="0" w:line="248" w:lineRule="auto"/>
        <w:tabs>
          <w:tab w:leader="none" w:pos="12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increased to $1.5 million for the three months ended June 30, 2025 compared to $0.1 million that was earned for the same respective period in 2024; and</w:t>
      </w:r>
    </w:p>
    <w:p>
      <w:pPr>
        <w:spacing w:after="0" w:line="41" w:lineRule="exact"/>
        <w:rPr>
          <w:rFonts w:ascii="Times New Roman" w:cs="Times New Roman" w:eastAsia="Times New Roman" w:hAnsi="Times New Roman"/>
          <w:sz w:val="18"/>
          <w:szCs w:val="18"/>
          <w:color w:val="auto"/>
        </w:rPr>
      </w:pPr>
    </w:p>
    <w:p>
      <w:pPr>
        <w:ind w:left="1300" w:hanging="167"/>
        <w:spacing w:after="0" w:line="236" w:lineRule="auto"/>
        <w:tabs>
          <w:tab w:leader="none" w:pos="1295" w:val="left"/>
        </w:tabs>
        <w:numPr>
          <w:ilvl w:val="1"/>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realized and unrealized investment gains of $1.1 million for the three months ended June 30, 2025 compared to losses of $— million for the same respective period in 2024.</w:t>
      </w:r>
    </w:p>
    <w:p>
      <w:pPr>
        <w:spacing w:after="0" w:line="62" w:lineRule="exact"/>
        <w:rPr>
          <w:rFonts w:ascii="Times New Roman" w:cs="Times New Roman" w:eastAsia="Times New Roman" w:hAnsi="Times New Roman"/>
          <w:sz w:val="18"/>
          <w:szCs w:val="18"/>
          <w:b w:val="1"/>
          <w:bCs w:val="1"/>
          <w:i w:val="1"/>
          <w:iCs w:val="1"/>
          <w:color w:val="auto"/>
        </w:rPr>
      </w:pPr>
    </w:p>
    <w:p>
      <w:pPr>
        <w:ind w:left="660" w:hanging="170"/>
        <w:spacing w:after="0" w:line="23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and administrative expenses increased to $2.6 million for the three months ended June 30, 2025 compared to $0.6 million for the same period in 2024. Corporate expenses increased primarily due to $1.7 million of non-recurring employee separation costs; and</w:t>
      </w:r>
    </w:p>
    <w:p>
      <w:pPr>
        <w:spacing w:after="0" w:line="48" w:lineRule="exact"/>
        <w:rPr>
          <w:rFonts w:ascii="Times New Roman" w:cs="Times New Roman" w:eastAsia="Times New Roman" w:hAnsi="Times New Roman"/>
          <w:sz w:val="18"/>
          <w:szCs w:val="18"/>
          <w:color w:val="auto"/>
        </w:rPr>
      </w:pPr>
    </w:p>
    <w:p>
      <w:pPr>
        <w:jc w:val="both"/>
        <w:ind w:left="660" w:hanging="170"/>
        <w:spacing w:after="0" w:line="230" w:lineRule="auto"/>
        <w:tabs>
          <w:tab w:leader="none" w:pos="655"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foreign exchange and other losses of $5.0 million for the three months ended June 30, 2025, compared to foreign exchange and other losses of $0.0 million for the same period in 2024, primarily due to significant weakening of the U.S dollar on the re-measurement of net loss reserves and insurance related liabilities denominated in the British pound and euro.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for the six months ended June 30, 2025</w:t>
      </w:r>
    </w:p>
    <w:p>
      <w:pPr>
        <w:spacing w:after="0" w:line="92" w:lineRule="exact"/>
        <w:rPr>
          <w:sz w:val="20"/>
          <w:szCs w:val="20"/>
          <w:color w:val="auto"/>
        </w:rPr>
      </w:pPr>
    </w:p>
    <w:p>
      <w:pPr>
        <w:jc w:val="both"/>
        <w:ind w:right="20" w:firstLine="241"/>
        <w:spacing w:after="0" w:line="224" w:lineRule="auto"/>
        <w:rPr>
          <w:sz w:val="20"/>
          <w:szCs w:val="20"/>
          <w:color w:val="auto"/>
        </w:rPr>
      </w:pPr>
      <w:r>
        <w:rPr>
          <w:rFonts w:ascii="Times New Roman" w:cs="Times New Roman" w:eastAsia="Times New Roman" w:hAnsi="Times New Roman"/>
          <w:sz w:val="18"/>
          <w:szCs w:val="18"/>
          <w:color w:val="auto"/>
        </w:rPr>
        <w:t>Net income for the six months ended June 30, 2025 was $69.9 million compared to net loss of $0.9 million in 2024. Net income for the six months ended June 30, 2025 was substantially the result of the gain on bargain purchase of $73.6 million which was related to the completion of the Combination on May 27, 2025.</w:t>
      </w:r>
    </w:p>
    <w:p>
      <w:pPr>
        <w:spacing w:after="0" w:line="64" w:lineRule="exact"/>
        <w:rPr>
          <w:sz w:val="20"/>
          <w:szCs w:val="20"/>
          <w:color w:val="auto"/>
        </w:rPr>
      </w:pPr>
    </w:p>
    <w:p>
      <w:pPr>
        <w:jc w:val="both"/>
        <w:ind w:firstLine="241"/>
        <w:spacing w:after="0" w:line="238" w:lineRule="auto"/>
        <w:rPr>
          <w:sz w:val="20"/>
          <w:szCs w:val="20"/>
          <w:color w:val="auto"/>
        </w:rPr>
      </w:pPr>
      <w:r>
        <w:rPr>
          <w:rFonts w:ascii="Times New Roman" w:cs="Times New Roman" w:eastAsia="Times New Roman" w:hAnsi="Times New Roman"/>
          <w:sz w:val="17"/>
          <w:szCs w:val="17"/>
          <w:color w:val="auto"/>
        </w:rPr>
        <w:t>Excluding the gain on bargain purchase, net loss was $4.1 million for the six months ended June 30, 2025 compared to a net loss of $0.9 million for the same period in 2024. Increases in underwriting and fee income as well as investment income were more than offset by higher operating and interest expense along with foreign exchange losses. The change in our financial results for the six months ended June 30, 2025 compared to 2024 was primarily due to:</w:t>
      </w:r>
    </w:p>
    <w:p>
      <w:pPr>
        <w:spacing w:after="0" w:line="62" w:lineRule="exact"/>
        <w:rPr>
          <w:sz w:val="20"/>
          <w:szCs w:val="20"/>
          <w:color w:val="auto"/>
        </w:rPr>
      </w:pPr>
    </w:p>
    <w:p>
      <w:pPr>
        <w:ind w:left="660" w:hanging="170"/>
        <w:spacing w:after="0" w:line="236" w:lineRule="auto"/>
        <w:tabs>
          <w:tab w:leader="none" w:pos="655"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underwriting and fee income of $6.3 million in the year ended June 30, 2025 compared to an underwriting and fee income of $0.4 million in 2024 largely due to:</w:t>
      </w:r>
    </w:p>
    <w:p>
      <w:pPr>
        <w:spacing w:after="0" w:line="48" w:lineRule="exact"/>
        <w:rPr>
          <w:rFonts w:ascii="Times New Roman" w:cs="Times New Roman" w:eastAsia="Times New Roman" w:hAnsi="Times New Roman"/>
          <w:sz w:val="18"/>
          <w:szCs w:val="18"/>
          <w:b w:val="1"/>
          <w:bCs w:val="1"/>
          <w:i w:val="1"/>
          <w:iCs w:val="1"/>
          <w:color w:val="auto"/>
        </w:rPr>
      </w:pPr>
    </w:p>
    <w:p>
      <w:pPr>
        <w:ind w:left="1300" w:hanging="167"/>
        <w:spacing w:after="0" w:line="248" w:lineRule="auto"/>
        <w:tabs>
          <w:tab w:leader="none" w:pos="1295" w:val="left"/>
        </w:tabs>
        <w:numPr>
          <w:ilvl w:val="1"/>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favorable PPD of $7.8 million in our Legacy Reinsurance segment for the six months ended June 30, 2025. AmTrust Reinsurance Legacy business had favorable PPD of $7.9 million in 2025; Diversified Reinsurance Legacy business had adverse PPD of $0.1 million in 2025.</w:t>
      </w:r>
    </w:p>
    <w:p>
      <w:pPr>
        <w:spacing w:after="0" w:line="41" w:lineRule="exact"/>
        <w:rPr>
          <w:rFonts w:ascii="Times New Roman" w:cs="Times New Roman" w:eastAsia="Times New Roman" w:hAnsi="Times New Roman"/>
          <w:sz w:val="18"/>
          <w:szCs w:val="18"/>
          <w:b w:val="1"/>
          <w:bCs w:val="1"/>
          <w:i w:val="1"/>
          <w:iCs w:val="1"/>
          <w:color w:val="auto"/>
        </w:rPr>
      </w:pPr>
    </w:p>
    <w:p>
      <w:pPr>
        <w:ind w:left="1300" w:right="20" w:hanging="167"/>
        <w:spacing w:after="0" w:line="236" w:lineRule="auto"/>
        <w:tabs>
          <w:tab w:leader="none" w:pos="1295" w:val="left"/>
        </w:tabs>
        <w:numPr>
          <w:ilvl w:val="1"/>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a current accident year basis, the underwriting loss for the Legacy Reinsurance segment was $1.5 million for the six months ended June 30, 2025.</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1300" w:hanging="167"/>
        <w:spacing w:after="0" w:line="224" w:lineRule="auto"/>
        <w:tabs>
          <w:tab w:leader="none" w:pos="12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Services segment results decreased by $0.3 million, primarily due to reduced capacity permitted on certain programs and specific lines of business. This was due to lower fee revenue of $1.4 million for the six months ended June 30, 2025 compared to $1.8 million for the same period in 2024. Fee revenue decreased by $0.4 million.</w:t>
      </w:r>
    </w:p>
    <w:p>
      <w:pPr>
        <w:spacing w:after="0" w:line="63" w:lineRule="exact"/>
        <w:rPr>
          <w:rFonts w:ascii="Times New Roman" w:cs="Times New Roman" w:eastAsia="Times New Roman" w:hAnsi="Times New Roman"/>
          <w:sz w:val="18"/>
          <w:szCs w:val="18"/>
          <w:color w:val="auto"/>
        </w:rPr>
      </w:pPr>
    </w:p>
    <w:p>
      <w:pPr>
        <w:ind w:left="660" w:hanging="170"/>
        <w:spacing w:after="0" w:line="236" w:lineRule="auto"/>
        <w:tabs>
          <w:tab w:leader="none" w:pos="655"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combined income from investment activities of $2.6 million for the six months ended June 30, 2025 compared to $0.1 million in 2024 primarily due to the following:</w:t>
      </w:r>
    </w:p>
    <w:p>
      <w:pPr>
        <w:spacing w:after="0" w:line="48" w:lineRule="exact"/>
        <w:rPr>
          <w:rFonts w:ascii="Times New Roman" w:cs="Times New Roman" w:eastAsia="Times New Roman" w:hAnsi="Times New Roman"/>
          <w:sz w:val="18"/>
          <w:szCs w:val="18"/>
          <w:b w:val="1"/>
          <w:bCs w:val="1"/>
          <w:i w:val="1"/>
          <w:iCs w:val="1"/>
          <w:color w:val="auto"/>
        </w:rPr>
      </w:pPr>
    </w:p>
    <w:p>
      <w:pPr>
        <w:ind w:left="1300" w:hanging="167"/>
        <w:spacing w:after="0" w:line="248" w:lineRule="auto"/>
        <w:tabs>
          <w:tab w:leader="none" w:pos="129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increased to $1.6 million for the six months ended June 30, 2025 compared to $0.1 million that was earned in 2024; and</w:t>
      </w:r>
    </w:p>
    <w:p>
      <w:pPr>
        <w:spacing w:after="0" w:line="41" w:lineRule="exact"/>
        <w:rPr>
          <w:rFonts w:ascii="Times New Roman" w:cs="Times New Roman" w:eastAsia="Times New Roman" w:hAnsi="Times New Roman"/>
          <w:sz w:val="18"/>
          <w:szCs w:val="18"/>
          <w:color w:val="auto"/>
        </w:rPr>
      </w:pPr>
    </w:p>
    <w:p>
      <w:pPr>
        <w:ind w:left="1300" w:hanging="167"/>
        <w:spacing w:after="0" w:line="236" w:lineRule="auto"/>
        <w:tabs>
          <w:tab w:leader="none" w:pos="1295" w:val="left"/>
        </w:tabs>
        <w:numPr>
          <w:ilvl w:val="1"/>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realized and unrealized investment gains of $1.1 million for the six months ended June 30, 2025 compared to losses of $0.0 million in 2024.</w:t>
      </w:r>
    </w:p>
    <w:p>
      <w:pPr>
        <w:spacing w:after="0" w:line="62" w:lineRule="exact"/>
        <w:rPr>
          <w:rFonts w:ascii="Times New Roman" w:cs="Times New Roman" w:eastAsia="Times New Roman" w:hAnsi="Times New Roman"/>
          <w:sz w:val="18"/>
          <w:szCs w:val="18"/>
          <w:b w:val="1"/>
          <w:bCs w:val="1"/>
          <w:i w:val="1"/>
          <w:iCs w:val="1"/>
          <w:color w:val="auto"/>
        </w:rPr>
      </w:pPr>
    </w:p>
    <w:p>
      <w:pPr>
        <w:ind w:left="660" w:hanging="170"/>
        <w:spacing w:after="0" w:line="236" w:lineRule="auto"/>
        <w:tabs>
          <w:tab w:leader="none" w:pos="655"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corporate general and administrative expenses increased to $3.2 million for the six months ended June 30, 2025 compared to $1.4 million in 2024. Corporate expenses increased primarily due to $1.7 million of non-recurring employee separation costs; and</w:t>
      </w:r>
    </w:p>
    <w:p>
      <w:pPr>
        <w:spacing w:after="0" w:line="48" w:lineRule="exact"/>
        <w:rPr>
          <w:rFonts w:ascii="Times New Roman" w:cs="Times New Roman" w:eastAsia="Times New Roman" w:hAnsi="Times New Roman"/>
          <w:sz w:val="18"/>
          <w:szCs w:val="18"/>
          <w:b w:val="1"/>
          <w:bCs w:val="1"/>
          <w:i w:val="1"/>
          <w:iCs w:val="1"/>
          <w:color w:val="auto"/>
        </w:rPr>
      </w:pPr>
    </w:p>
    <w:p>
      <w:pPr>
        <w:jc w:val="both"/>
        <w:ind w:left="660" w:hanging="170"/>
        <w:spacing w:after="0" w:line="23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and other losses of $5.0 million for the six months ended June 30, 2025 compared to foreign exchange and other losses of $0.0 million earned in 2024, largely due to significant weakening of the U.S dollar on the re-measurement of net loss reserves and insurance related liabilities denominated in the British pound and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premiums written by our reportable segment, reconciled to the total consolidated net premiums written for the three and six months ended June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are detailed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Change in</w:t>
            </w:r>
          </w:p>
        </w:tc>
      </w:tr>
      <w:tr>
        <w:trPr>
          <w:trHeight w:val="25"/>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88"/>
        </w:trPr>
        <w:tc>
          <w:tcPr>
            <w:tcW w:w="674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FFCC"/>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FFCC"/>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68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Diversified Legacy Business</w:t>
            </w: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28"/>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AmTrust Reinsurance Legacy Business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46"/>
        </w:trPr>
        <w:tc>
          <w:tcPr>
            <w:tcW w:w="6840" w:type="dxa"/>
            <w:vAlign w:val="bottom"/>
            <w:tcBorders>
              <w:top w:val="single" w:sz="8" w:color="CCFFCC"/>
              <w:bottom w:val="single" w:sz="8" w:color="CCFFCC"/>
            </w:tcBorders>
            <w:gridSpan w:val="2"/>
            <w:shd w:val="clear" w:color="auto" w:fill="CCFFCC"/>
          </w:tcPr>
          <w:p>
            <w:pPr>
              <w:ind w:left="60"/>
              <w:spacing w:after="0" w:line="221" w:lineRule="exact"/>
              <w:rPr>
                <w:sz w:val="20"/>
                <w:szCs w:val="20"/>
                <w:color w:val="auto"/>
              </w:rPr>
            </w:pPr>
            <w:r>
              <w:rPr>
                <w:rFonts w:ascii="Times New Roman" w:cs="Times New Roman" w:eastAsia="Times New Roman" w:hAnsi="Times New Roman"/>
                <w:sz w:val="18"/>
                <w:szCs w:val="18"/>
                <w:b w:val="1"/>
                <w:bCs w:val="1"/>
                <w:color w:val="auto"/>
              </w:rPr>
              <w:t>Total Legacy Reinsurance Segment</w:t>
            </w:r>
            <w:r>
              <w:rPr>
                <w:rFonts w:ascii="Times New Roman" w:cs="Times New Roman" w:eastAsia="Times New Roman" w:hAnsi="Times New Roman"/>
                <w:sz w:val="23"/>
                <w:szCs w:val="23"/>
                <w:b w:val="1"/>
                <w:bCs w:val="1"/>
                <w:color w:val="auto"/>
                <w:vertAlign w:val="superscript"/>
              </w:rPr>
              <w:t>(1)</w:t>
            </w:r>
          </w:p>
        </w:tc>
        <w:tc>
          <w:tcPr>
            <w:tcW w:w="340" w:type="dxa"/>
            <w:vAlign w:val="bottom"/>
            <w:tcBorders>
              <w:top w:val="single" w:sz="8" w:color="auto"/>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40" w:type="dxa"/>
            <w:vAlign w:val="bottom"/>
            <w:tcBorders>
              <w:top w:val="single" w:sz="8" w:color="auto"/>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FFC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40" w:type="dxa"/>
            <w:vAlign w:val="bottom"/>
            <w:tcBorders>
              <w:top w:val="single" w:sz="8" w:color="auto"/>
              <w:bottom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0"/>
        </w:trPr>
        <w:tc>
          <w:tcPr>
            <w:tcW w:w="67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(1) Legacy Reinsurance segment results only include the post-combination period of May 28 to June 30, 2025.</w:t>
      </w:r>
    </w:p>
    <w:p>
      <w:pPr>
        <w:spacing w:after="0" w:line="2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premiums written for the three and six months ended June 30, 2025 increased to $1.1 million:</w:t>
      </w:r>
    </w:p>
    <w:p>
      <w:pPr>
        <w:spacing w:after="0" w:line="88" w:lineRule="exact"/>
        <w:rPr>
          <w:sz w:val="20"/>
          <w:szCs w:val="20"/>
          <w:color w:val="auto"/>
        </w:rPr>
      </w:pPr>
    </w:p>
    <w:p>
      <w:pPr>
        <w:jc w:val="both"/>
        <w:ind w:left="660" w:hanging="170"/>
        <w:spacing w:after="0" w:line="223" w:lineRule="auto"/>
        <w:tabs>
          <w:tab w:leader="none" w:pos="649" w:val="left"/>
        </w:tabs>
        <w:numPr>
          <w:ilvl w:val="0"/>
          <w:numId w:val="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 xml:space="preserve">Premiums written in the Diversified Reinsurance legacy business was $1.4 million for the three and six months ended June 30, 2025. As discussed in </w:t>
      </w:r>
      <w:r>
        <w:rPr>
          <w:rFonts w:ascii="Times New Roman" w:cs="Times New Roman" w:eastAsia="Times New Roman" w:hAnsi="Times New Roman"/>
          <w:sz w:val="18"/>
          <w:szCs w:val="18"/>
          <w:i w:val="1"/>
          <w:iCs w:val="1"/>
          <w:color w:val="auto"/>
        </w:rPr>
        <w:t>Note 14. Assets Held for Sale</w:t>
      </w:r>
      <w:r>
        <w:rPr>
          <w:rFonts w:ascii="Times New Roman" w:cs="Times New Roman" w:eastAsia="Times New Roman" w:hAnsi="Times New Roman"/>
          <w:sz w:val="18"/>
          <w:szCs w:val="18"/>
          <w:color w:val="auto"/>
        </w:rPr>
        <w:t xml:space="preserve"> of the Notes to Condensed Consolidated Financial Statements in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xml:space="preserve"> Maiden LF and Maiden GF are no longer writing new business and their non-underwriting related assets and liabilities are presented as held-for-sale in our condensed consolidated financial statements.</w:t>
      </w:r>
    </w:p>
    <w:p>
      <w:pPr>
        <w:spacing w:after="0" w:line="48" w:lineRule="exact"/>
        <w:rPr>
          <w:rFonts w:ascii="Times New Roman" w:cs="Times New Roman" w:eastAsia="Times New Roman" w:hAnsi="Times New Roman"/>
          <w:sz w:val="16"/>
          <w:szCs w:val="16"/>
          <w:b w:val="1"/>
          <w:bCs w:val="1"/>
          <w:i w:val="1"/>
          <w:iCs w:val="1"/>
          <w:color w:val="auto"/>
        </w:rPr>
      </w:pPr>
    </w:p>
    <w:p>
      <w:pPr>
        <w:jc w:val="both"/>
        <w:ind w:left="660" w:hanging="170"/>
        <w:spacing w:after="0" w:line="230" w:lineRule="auto"/>
        <w:tabs>
          <w:tab w:leader="none" w:pos="649" w:val="left"/>
        </w:tabs>
        <w:numPr>
          <w:ilvl w:val="0"/>
          <w:numId w:val="4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8"/>
          <w:szCs w:val="18"/>
          <w:color w:val="auto"/>
        </w:rPr>
        <w:t>Negative premiums written in the AmTrust Reinsurance legacy business were $0.3 million for the three and six months ended June 30, 2025. The cessation of active reinsurance underwriting on prospective risks included the termination of the AmTrust Quota Share and European Hospital Liability Quota Share effective January 1, 2019.</w:t>
      </w:r>
    </w:p>
    <w:p>
      <w:pPr>
        <w:spacing w:after="0" w:line="48"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Please refer to the analysis below of our Diversified Reinsurance and AmTrust Reinsurance Legacy Business in the Legacy Reinsurance segment for further details.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8"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Net premiums earned were $2.4 million for the three and six months ended June 30, 2025. Net premiums earned by our reportable segment, reconciled to the total consolidated net premiums earned, for the three and six months ended June 30, 2025 are detailed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Change in</w:t>
            </w:r>
          </w:p>
        </w:tc>
      </w:tr>
      <w:tr>
        <w:trPr>
          <w:trHeight w:val="25"/>
        </w:trPr>
        <w:tc>
          <w:tcPr>
            <w:tcW w:w="6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8"/>
        </w:trPr>
        <w:tc>
          <w:tcPr>
            <w:tcW w:w="662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10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672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Diversified Reinsurance Legacy Business</w:t>
            </w:r>
          </w:p>
        </w:tc>
        <w:tc>
          <w:tcPr>
            <w:tcW w:w="920" w:type="dxa"/>
            <w:vAlign w:val="bottom"/>
            <w:shd w:val="clear" w:color="auto" w:fill="CCFFC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FFCC"/>
          </w:tcPr>
          <w:p>
            <w:pPr>
              <w:spacing w:after="0"/>
              <w:rPr>
                <w:sz w:val="19"/>
                <w:szCs w:val="19"/>
                <w:color w:val="auto"/>
              </w:rPr>
            </w:pPr>
          </w:p>
        </w:tc>
        <w:tc>
          <w:tcPr>
            <w:tcW w:w="1040" w:type="dxa"/>
            <w:vAlign w:val="bottom"/>
            <w:shd w:val="clear" w:color="auto" w:fill="CCFF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28"/>
        </w:trPr>
        <w:tc>
          <w:tcPr>
            <w:tcW w:w="6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AmTrust Reinsurance Legacy Business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46"/>
        </w:trPr>
        <w:tc>
          <w:tcPr>
            <w:tcW w:w="6720" w:type="dxa"/>
            <w:vAlign w:val="bottom"/>
            <w:tcBorders>
              <w:top w:val="single" w:sz="8" w:color="CCFFCC"/>
              <w:bottom w:val="single" w:sz="8" w:color="CCFFCC"/>
            </w:tcBorders>
            <w:gridSpan w:val="2"/>
            <w:shd w:val="clear" w:color="auto" w:fill="CCFFCC"/>
          </w:tcPr>
          <w:p>
            <w:pPr>
              <w:ind w:left="60"/>
              <w:spacing w:after="0" w:line="221" w:lineRule="exact"/>
              <w:rPr>
                <w:sz w:val="20"/>
                <w:szCs w:val="20"/>
                <w:color w:val="auto"/>
              </w:rPr>
            </w:pPr>
            <w:r>
              <w:rPr>
                <w:rFonts w:ascii="Times New Roman" w:cs="Times New Roman" w:eastAsia="Times New Roman" w:hAnsi="Times New Roman"/>
                <w:sz w:val="18"/>
                <w:szCs w:val="18"/>
                <w:color w:val="auto"/>
              </w:rPr>
              <w:t>Total Legacy Reinsurance Segment</w:t>
            </w:r>
            <w:r>
              <w:rPr>
                <w:rFonts w:ascii="Times New Roman" w:cs="Times New Roman" w:eastAsia="Times New Roman" w:hAnsi="Times New Roman"/>
                <w:sz w:val="23"/>
                <w:szCs w:val="23"/>
                <w:color w:val="auto"/>
                <w:vertAlign w:val="superscript"/>
              </w:rPr>
              <w:t>(1)</w:t>
            </w:r>
          </w:p>
        </w:tc>
        <w:tc>
          <w:tcPr>
            <w:tcW w:w="920" w:type="dxa"/>
            <w:vAlign w:val="bottom"/>
            <w:tcBorders>
              <w:top w:val="single" w:sz="8" w:color="auto"/>
              <w:bottom w:val="single" w:sz="8" w:color="auto"/>
            </w:tcBorders>
            <w:shd w:val="clear" w:color="auto" w:fill="CCFFC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040" w:type="dxa"/>
            <w:vAlign w:val="bottom"/>
            <w:tcBorders>
              <w:top w:val="single" w:sz="8" w:color="auto"/>
              <w:bottom w:val="single" w:sz="8" w:color="auto"/>
            </w:tcBorders>
            <w:shd w:val="clear" w:color="auto" w:fill="CCFFCC"/>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0"/>
        </w:trPr>
        <w:tc>
          <w:tcPr>
            <w:tcW w:w="66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920" w:type="dxa"/>
            <w:vAlign w:val="bottom"/>
            <w:tcBorders>
              <w:top w:val="single" w:sz="8" w:color="CCFFCC"/>
              <w:bottom w:val="single" w:sz="8" w:color="auto"/>
            </w:tcBorders>
          </w:tcPr>
          <w:p>
            <w:pPr>
              <w:spacing w:after="0" w:line="20" w:lineRule="exact"/>
              <w:rPr>
                <w:sz w:val="1"/>
                <w:szCs w:val="1"/>
                <w:color w:val="auto"/>
              </w:rPr>
            </w:pPr>
          </w:p>
        </w:tc>
        <w:tc>
          <w:tcPr>
            <w:tcW w:w="5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4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(1) Legacy Reinsurance segment results only include the post-combination period of May 28, 2025 to June 30, 2025.</w:t>
      </w:r>
    </w:p>
    <w:p>
      <w:pPr>
        <w:spacing w:after="0" w:line="80" w:lineRule="exact"/>
        <w:rPr>
          <w:sz w:val="20"/>
          <w:szCs w:val="20"/>
          <w:color w:val="auto"/>
        </w:rPr>
      </w:pPr>
    </w:p>
    <w:p>
      <w:pPr>
        <w:jc w:val="both"/>
        <w:ind w:firstLine="282"/>
        <w:spacing w:after="0" w:line="214" w:lineRule="auto"/>
        <w:rPr>
          <w:sz w:val="20"/>
          <w:szCs w:val="20"/>
          <w:color w:val="auto"/>
        </w:rPr>
      </w:pPr>
      <w:r>
        <w:rPr>
          <w:rFonts w:ascii="Times New Roman" w:cs="Times New Roman" w:eastAsia="Times New Roman" w:hAnsi="Times New Roman"/>
          <w:sz w:val="18"/>
          <w:szCs w:val="18"/>
          <w:color w:val="auto"/>
        </w:rPr>
        <w:t>Net premiums earned under Diversified Reinsurance reinsurance business for the three and six months ended June 30, 2025 was $1.4 million. Please note that Maiden LF and Maiden GF are no longer writing new business and their non-underwriting related assets and liabilities are represented as held-for-sale in our condensed consolidated financial statements as discussed above. Net premiums earned under AmTrust Reinsurance reinsurance business for the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three and six months ended June 30, 2025 was $1.0 million. Please refer to the analysis below of our Diversified Reinsurance and AmTrust Reinsurance in the Maiden Legacy segment for further details.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Revenue</w:t>
      </w:r>
    </w:p>
    <w:p>
      <w:pPr>
        <w:spacing w:after="0" w:line="9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Fee Revenue is primarily produced by our Program Services segment. Revenue is measured as the amount of consideration Kestrel expects to receive in exchange for providing services to its customer and is generally governed by its managed service agreement. This agreement outlines the structure of the Authorized Program for which Kestrel oversees the placement of effective insurance policies in exchange for a fee. These agreements may also include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such as minimum fee arrangements or cancellation provisions, which may impact revenue recognition.</w:t>
      </w:r>
    </w:p>
    <w:p>
      <w:pPr>
        <w:spacing w:after="0" w:line="55"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Capacity distribution fees are collected from program managers or MGAs for the placement of effective insurance policies on behalf of our customer, which is considered a single performance obligation. Support services provided for these insurance and reinsurance brokerage arrangements include compliance and regulatory reporting and administrative support which culminate in the placement of bound insurance coverage.</w:t>
      </w:r>
    </w:p>
    <w:p>
      <w:pPr>
        <w:spacing w:after="0" w:line="50" w:lineRule="exact"/>
        <w:rPr>
          <w:sz w:val="20"/>
          <w:szCs w:val="20"/>
          <w:color w:val="auto"/>
        </w:rPr>
      </w:pPr>
    </w:p>
    <w:p>
      <w:pPr>
        <w:jc w:val="both"/>
        <w:ind w:firstLine="241"/>
        <w:spacing w:after="0" w:line="218" w:lineRule="auto"/>
        <w:rPr>
          <w:sz w:val="20"/>
          <w:szCs w:val="20"/>
          <w:color w:val="auto"/>
        </w:rPr>
      </w:pPr>
      <w:r>
        <w:rPr>
          <w:rFonts w:ascii="Times New Roman" w:cs="Times New Roman" w:eastAsia="Times New Roman" w:hAnsi="Times New Roman"/>
          <w:sz w:val="17"/>
          <w:szCs w:val="17"/>
          <w:color w:val="auto"/>
        </w:rPr>
        <w:t>Fee revenue was $0.5 million and $1.4 million for the three and six months ended June 30, 2025, respectively, compared to $0.6 million and $1.8 million for the same respective periods in 2024. Fee revenue decreased by $33.0 thousand and $0.4 million due to a reduction in permitted capacity for certain</w:t>
      </w:r>
    </w:p>
    <w:p>
      <w:pPr>
        <w:spacing w:after="0"/>
        <w:rPr>
          <w:sz w:val="20"/>
          <w:szCs w:val="20"/>
          <w:color w:val="auto"/>
        </w:rPr>
      </w:pPr>
      <w:r>
        <w:rPr>
          <w:rFonts w:ascii="Times New Roman" w:cs="Times New Roman" w:eastAsia="Times New Roman" w:hAnsi="Times New Roman"/>
          <w:sz w:val="18"/>
          <w:szCs w:val="18"/>
          <w:color w:val="auto"/>
        </w:rPr>
        <w:t>programs and lines of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79"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Net investment income increased by $1.5 million for the three and six months ended June 30, 2025, compared to the same respective periods in 2024 due to the inclusion of Maiden's AFS fixed income portfolio and alternative investment portfolios in connection with the Combination.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60" w:name="page61"/>
    <w:bookmarkEnd w:id="60"/>
    <w:p>
      <w:pPr>
        <w:ind w:firstLine="241"/>
        <w:spacing w:after="0" w:line="221" w:lineRule="auto"/>
        <w:rPr>
          <w:sz w:val="20"/>
          <w:szCs w:val="20"/>
          <w:color w:val="auto"/>
        </w:rPr>
      </w:pPr>
      <w:r>
        <w:rPr>
          <w:rFonts w:ascii="Times New Roman" w:cs="Times New Roman" w:eastAsia="Times New Roman" w:hAnsi="Times New Roman"/>
          <w:sz w:val="18"/>
          <w:szCs w:val="18"/>
          <w:color w:val="auto"/>
        </w:rPr>
        <w:t>Annualized average book yields decreased to 3.2% for the three and six months ended June 30, 2025, compared to 4.4% for the same respective periods in 2024. Net loan receivable from related party interest income was $0.7 million for the three and six months ended June 30, 2025. The net loan carried a</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weighted average interest rate on a balance of $107.5 million of 5.8% for the three and six months ended June 30, 2025. Floating rate investments comprised 49.0% of our fixed income investments at June 30, 2025 compared to 0.0% at June 30, 2024.</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average aggregate fixed income assets (at cost) and annualized investment book yield for the three and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and 2024:</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86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780" w:type="dxa"/>
            <w:vAlign w:val="bottom"/>
            <w:tcBorders>
              <w:bottom w:val="single" w:sz="8" w:color="CDFFCC"/>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DFFC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D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D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780" w:type="dxa"/>
            <w:vAlign w:val="bottom"/>
            <w:shd w:val="clear" w:color="auto" w:fill="CDFFCC"/>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Average aggregate fixed income assets, at cost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D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DFFCC"/>
          </w:tcPr>
          <w:p>
            <w:pPr>
              <w:jc w:val="right"/>
              <w:ind w:right="160"/>
              <w:spacing w:after="0"/>
              <w:rPr>
                <w:sz w:val="20"/>
                <w:szCs w:val="20"/>
                <w:color w:val="auto"/>
              </w:rPr>
            </w:pPr>
            <w:r>
              <w:rPr>
                <w:rFonts w:ascii="Times New Roman" w:cs="Times New Roman" w:eastAsia="Times New Roman" w:hAnsi="Times New Roman"/>
                <w:sz w:val="18"/>
                <w:szCs w:val="18"/>
                <w:color w:val="auto"/>
              </w:rPr>
              <w:t>180,988</w:t>
            </w:r>
          </w:p>
        </w:tc>
        <w:tc>
          <w:tcPr>
            <w:tcW w:w="100" w:type="dxa"/>
            <w:vAlign w:val="bottom"/>
            <w:shd w:val="clear" w:color="auto" w:fill="CDFFCC"/>
          </w:tcPr>
          <w:p>
            <w:pPr>
              <w:spacing w:after="0"/>
              <w:rPr>
                <w:sz w:val="19"/>
                <w:szCs w:val="19"/>
                <w:color w:val="auto"/>
              </w:rPr>
            </w:pPr>
          </w:p>
        </w:tc>
        <w:tc>
          <w:tcPr>
            <w:tcW w:w="360" w:type="dxa"/>
            <w:vAlign w:val="bottom"/>
            <w:shd w:val="clear" w:color="auto" w:fill="CD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DFFCC"/>
          </w:tcPr>
          <w:p>
            <w:pPr>
              <w:jc w:val="right"/>
              <w:ind w:right="137"/>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shd w:val="clear" w:color="auto" w:fill="CDFFCC"/>
          </w:tcPr>
          <w:p>
            <w:pPr>
              <w:spacing w:after="0"/>
              <w:rPr>
                <w:sz w:val="19"/>
                <w:szCs w:val="19"/>
                <w:color w:val="auto"/>
              </w:rPr>
            </w:pPr>
          </w:p>
        </w:tc>
        <w:tc>
          <w:tcPr>
            <w:tcW w:w="280" w:type="dxa"/>
            <w:vAlign w:val="bottom"/>
            <w:shd w:val="clear" w:color="auto" w:fill="CDFFC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DFFCC"/>
          </w:tcPr>
          <w:p>
            <w:pPr>
              <w:jc w:val="right"/>
              <w:ind w:right="140"/>
              <w:spacing w:after="0"/>
              <w:rPr>
                <w:sz w:val="20"/>
                <w:szCs w:val="20"/>
                <w:color w:val="auto"/>
              </w:rPr>
            </w:pPr>
            <w:r>
              <w:rPr>
                <w:rFonts w:ascii="Times New Roman" w:cs="Times New Roman" w:eastAsia="Times New Roman" w:hAnsi="Times New Roman"/>
                <w:sz w:val="18"/>
                <w:szCs w:val="18"/>
                <w:color w:val="auto"/>
              </w:rPr>
              <w:t>181,426</w:t>
            </w:r>
          </w:p>
        </w:tc>
        <w:tc>
          <w:tcPr>
            <w:tcW w:w="120" w:type="dxa"/>
            <w:vAlign w:val="bottom"/>
            <w:shd w:val="clear" w:color="auto" w:fill="CDFFCC"/>
          </w:tcPr>
          <w:p>
            <w:pPr>
              <w:spacing w:after="0"/>
              <w:rPr>
                <w:sz w:val="19"/>
                <w:szCs w:val="19"/>
                <w:color w:val="auto"/>
              </w:rPr>
            </w:pPr>
          </w:p>
        </w:tc>
        <w:tc>
          <w:tcPr>
            <w:tcW w:w="340" w:type="dxa"/>
            <w:vAlign w:val="bottom"/>
            <w:shd w:val="clear" w:color="auto" w:fill="CD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DFFCC"/>
          </w:tcPr>
          <w:p>
            <w:pPr>
              <w:jc w:val="right"/>
              <w:ind w:right="157"/>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investment book yield</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right="20" w:hanging="313"/>
        <w:spacing w:after="0" w:line="256" w:lineRule="auto"/>
        <w:tabs>
          <w:tab w:leader="none" w:pos="312" w:val="left"/>
        </w:tabs>
        <w:numPr>
          <w:ilvl w:val="0"/>
          <w:numId w:val="4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Fixed income assets include available-for-sale ("AFS") securities, cash and restricted cash, funds withheld receivable, and loan receivable from related party. These amounts are an average of the amounts disclosed in our quarterly U.S. GAAP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Investment Gains</w:t>
      </w:r>
    </w:p>
    <w:p>
      <w:pPr>
        <w:spacing w:after="0" w:line="79"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Net realized and unrealized investment gains of $1.1 million were recognized for the three and six months ended June 30, 2025. Net realized and unrealized investment gains for the three and six months ended June 30, 2025 are summarized in the table below by investment category: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D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1"/>
        </w:trPr>
        <w:tc>
          <w:tcPr>
            <w:tcW w:w="970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i w:val="1"/>
                <w:iCs w:val="1"/>
                <w:color w:val="auto"/>
              </w:rPr>
              <w:t>Net realized gains (losses):</w:t>
            </w:r>
          </w:p>
        </w:tc>
        <w:tc>
          <w:tcPr>
            <w:tcW w:w="100" w:type="dxa"/>
            <w:vAlign w:val="bottom"/>
            <w:shd w:val="clear" w:color="auto" w:fill="CDFFCC"/>
          </w:tcPr>
          <w:p>
            <w:pPr>
              <w:spacing w:after="0"/>
              <w:rPr>
                <w:sz w:val="19"/>
                <w:szCs w:val="19"/>
                <w:color w:val="auto"/>
              </w:rPr>
            </w:pP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spacing w:after="0"/>
              <w:rPr>
                <w:sz w:val="19"/>
                <w:szCs w:val="19"/>
                <w:color w:val="auto"/>
              </w:rPr>
            </w:pPr>
          </w:p>
        </w:tc>
      </w:tr>
      <w:tr>
        <w:trPr>
          <w:trHeight w:val="228"/>
        </w:trPr>
        <w:tc>
          <w:tcPr>
            <w:tcW w:w="980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1"/>
        </w:trPr>
        <w:tc>
          <w:tcPr>
            <w:tcW w:w="98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realized losses</w:t>
            </w:r>
          </w:p>
        </w:tc>
        <w:tc>
          <w:tcPr>
            <w:tcW w:w="34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08"/>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Net unrealized gains (losses):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98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8"/>
        </w:trPr>
        <w:tc>
          <w:tcPr>
            <w:tcW w:w="980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1"/>
        </w:trPr>
        <w:tc>
          <w:tcPr>
            <w:tcW w:w="980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unrealized gains</w:t>
            </w:r>
          </w:p>
        </w:tc>
        <w:tc>
          <w:tcPr>
            <w:tcW w:w="340" w:type="dxa"/>
            <w:vAlign w:val="bottom"/>
            <w:tcBorders>
              <w:bottom w:val="single" w:sz="8" w:color="auto"/>
            </w:tcBorders>
            <w:shd w:val="clear" w:color="auto" w:fill="CDFFCC"/>
          </w:tcPr>
          <w:p>
            <w:pPr>
              <w:spacing w:after="0"/>
              <w:rPr>
                <w:sz w:val="19"/>
                <w:szCs w:val="19"/>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1"/>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realized and unrealized investment gains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0"/>
        </w:trPr>
        <w:tc>
          <w:tcPr>
            <w:tcW w:w="9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and LAE</w:t>
      </w:r>
    </w:p>
    <w:p>
      <w:pPr>
        <w:spacing w:after="0" w:line="92" w:lineRule="exact"/>
        <w:rPr>
          <w:sz w:val="20"/>
          <w:szCs w:val="20"/>
          <w:color w:val="auto"/>
        </w:rPr>
      </w:pPr>
    </w:p>
    <w:p>
      <w:pPr>
        <w:jc w:val="both"/>
        <w:ind w:right="20" w:firstLine="201"/>
        <w:spacing w:after="0" w:line="236" w:lineRule="auto"/>
        <w:rPr>
          <w:sz w:val="20"/>
          <w:szCs w:val="20"/>
          <w:color w:val="auto"/>
        </w:rPr>
      </w:pPr>
      <w:r>
        <w:rPr>
          <w:rFonts w:ascii="Times New Roman" w:cs="Times New Roman" w:eastAsia="Times New Roman" w:hAnsi="Times New Roman"/>
          <w:sz w:val="18"/>
          <w:szCs w:val="18"/>
          <w:color w:val="auto"/>
        </w:rPr>
        <w:t>Net loss and LAE was $6.0 million for the three and six months ended June 30, 2025. Net losses were impacted by net favorable PPD of $7.8 million for the three and six months ended June 30, 2025. Excluding PPD, current year losses were $1.8 million for the three and six months ended June 30, 2025.</w:t>
      </w:r>
    </w:p>
    <w:p>
      <w:pPr>
        <w:spacing w:after="0" w:line="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cessation of active reinsurance underwriting on prospective risks included the termination of the AmTrust Quota Share and European Hospital</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Liability Quota Share effective January 1, 2019. The net loss development is discussed in greater detail in the Legacy Reinsurance segment discussion and analysis and entirely associated with run-off of unearned premium for terminated reinsurance contracts in the legacy reinsurance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Acquisition Expenses</w:t>
      </w:r>
    </w:p>
    <w:p>
      <w:pPr>
        <w:spacing w:after="0" w:line="18" w:lineRule="exact"/>
        <w:rPr>
          <w:sz w:val="20"/>
          <w:szCs w:val="20"/>
          <w:color w:val="auto"/>
        </w:rPr>
      </w:pPr>
    </w:p>
    <w:p>
      <w:pPr>
        <w:jc w:val="both"/>
        <w:ind w:firstLine="282"/>
        <w:spacing w:after="0" w:line="232" w:lineRule="auto"/>
        <w:rPr>
          <w:sz w:val="20"/>
          <w:szCs w:val="20"/>
          <w:color w:val="auto"/>
        </w:rPr>
      </w:pPr>
      <w:r>
        <w:rPr>
          <w:rFonts w:ascii="Times New Roman" w:cs="Times New Roman" w:eastAsia="Times New Roman" w:hAnsi="Times New Roman"/>
          <w:sz w:val="18"/>
          <w:szCs w:val="18"/>
          <w:color w:val="auto"/>
        </w:rPr>
        <w:t>Commission and other acquisition expenses were $0.4 million for the three and six months ended June 30, 2025. Please see the Legacy Reinsurance segment analysis below for further information.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include both segment and corporate expenses segregated for analytical purposes as a component of underwriting</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income. Total general and administrative expenses increased by $3.9 million and $3.4 million for the three and six months ended June 30, 2025, compared to the same periods in 2024, primarily due to the inclusion of Maiden's general and administrative expenses as a result of the Combination subsequent to May 27, 2025.</w:t>
      </w:r>
    </w:p>
    <w:p>
      <w:pPr>
        <w:spacing w:after="0" w:line="62" w:lineRule="exact"/>
        <w:rPr>
          <w:sz w:val="20"/>
          <w:szCs w:val="20"/>
          <w:color w:val="auto"/>
        </w:rPr>
      </w:pPr>
    </w:p>
    <w:p>
      <w:pPr>
        <w:jc w:val="both"/>
        <w:ind w:firstLine="241"/>
        <w:spacing w:after="0" w:line="219" w:lineRule="auto"/>
        <w:rPr>
          <w:sz w:val="20"/>
          <w:szCs w:val="20"/>
          <w:color w:val="auto"/>
        </w:rPr>
      </w:pPr>
      <w:r>
        <w:rPr>
          <w:rFonts w:ascii="Times New Roman" w:cs="Times New Roman" w:eastAsia="Times New Roman" w:hAnsi="Times New Roman"/>
          <w:sz w:val="18"/>
          <w:szCs w:val="18"/>
          <w:color w:val="auto"/>
        </w:rPr>
        <w:t>Corporate expenses increased primarily due to $1.7 million in non-recurring employee separation costs. Excluding these non-recurring expenses, our adjusted operating expenses increased by $2.2 million and increased by $1.7 million for the three and six months ended June 30, 2025, compared to the same periods in 2024. Corporate expenses also included vesting of certain stock-based awards which were $0.2 million for the six months ended June 30, 2025 compared to $0.0 million for the same period in 2024.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1" w:name="page62"/>
    <w:bookmarkEnd w:id="61"/>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 for the three and six months ended June 30, 2025 and 2024 were comprised of:</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200" w:type="dxa"/>
            <w:vAlign w:val="bottom"/>
            <w:tcBorders>
              <w:bottom w:val="single" w:sz="8" w:color="CCFFCC"/>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52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 – segments</w:t>
            </w:r>
          </w:p>
        </w:tc>
        <w:tc>
          <w:tcPr>
            <w:tcW w:w="22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 – corporate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tc>
        <w:tc>
          <w:tcPr>
            <w:tcW w:w="220" w:type="dxa"/>
            <w:vAlign w:val="bottom"/>
            <w:tcBorders>
              <w:bottom w:val="single" w:sz="8" w:color="auto"/>
            </w:tcBorders>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20"/>
        </w:trPr>
        <w:tc>
          <w:tcPr>
            <w:tcW w:w="52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2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Amortization Expenses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interest and amortization expenses were $1.5 million and $0.0 million for the three and six months ended June 30, 2025 and 2024, respectively.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This included $1.8 million of interest expense on the outstanding senior notes issued by Maiden in 2016 and Maiden Holdings North America, Ltd. ("Maiden NA") in 2013 ("Senior Notes") in the three and six months ended June 30, 2025, respectively, that were acquired upon completion of the merger. The difference between the principal amount of the acquired debt and the fair market value of the acquired debt is being amortized over the remaining life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Notes up to par value. The amortization for the fair value adjustment was $0.1 million for the three and six months ended June 30, 2025</w:t>
      </w:r>
    </w:p>
    <w:p>
      <w:pPr>
        <w:spacing w:after="0" w:line="53" w:lineRule="exact"/>
        <w:rPr>
          <w:sz w:val="20"/>
          <w:szCs w:val="20"/>
          <w:color w:val="auto"/>
        </w:rPr>
      </w:pPr>
    </w:p>
    <w:p>
      <w:pPr>
        <w:jc w:val="both"/>
        <w:ind w:right="20" w:firstLine="241"/>
        <w:spacing w:after="0" w:line="237"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Notes to Condensed Consolidated Financial Statements (unaudited) Note 7. Long Term Debt</w:t>
      </w:r>
      <w:r>
        <w:rPr>
          <w:rFonts w:ascii="Times New Roman" w:cs="Times New Roman" w:eastAsia="Times New Roman" w:hAnsi="Times New Roman"/>
          <w:sz w:val="18"/>
          <w:szCs w:val="18"/>
          <w:color w:val="auto"/>
        </w:rPr>
        <w:t>" for further details on the Senior Notes. The weighted average effective interest rate for the Senior Notes was 11.7% for the three and six months ended June 30, 2025,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Bargain Purchase and Change in Earn out Liability</w:t>
      </w:r>
    </w:p>
    <w:p>
      <w:pPr>
        <w:spacing w:after="0" w:line="77"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7"/>
          <w:szCs w:val="17"/>
          <w:color w:val="auto"/>
        </w:rPr>
        <w:t xml:space="preserve">As discussed in </w:t>
      </w:r>
      <w:r>
        <w:rPr>
          <w:rFonts w:ascii="Times New Roman" w:cs="Times New Roman" w:eastAsia="Times New Roman" w:hAnsi="Times New Roman"/>
          <w:sz w:val="17"/>
          <w:szCs w:val="17"/>
          <w:i w:val="1"/>
          <w:iCs w:val="1"/>
          <w:color w:val="auto"/>
        </w:rPr>
        <w:t>Part I, Item 1 - Notes to Condensed Consolidated Financial Statements (unaudited)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"Note 15. Business Combination"</w:t>
      </w:r>
      <w:r>
        <w:rPr>
          <w:rFonts w:ascii="Times New Roman" w:cs="Times New Roman" w:eastAsia="Times New Roman" w:hAnsi="Times New Roman"/>
          <w:sz w:val="17"/>
          <w:szCs w:val="17"/>
          <w:color w:val="auto"/>
        </w:rPr>
        <w:t xml:space="preserve"> included in this Form 10-Q, the gain on bargain purchase of $73.6 million is the differential between the fair value of net assets of Maiden acquired on May 27, 2025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result of the Combination and the consideration effectively transferred to Kestrel shareholders on that date.</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Pursuant to terms of the Combination, former Kestrel shareholders are eligible to earn additional contingent consideration up to the lesser of (x) 2.75 million common shares of Kestrel Group and (y) $45.0 million payable in common shares of Kestrel Group, subject to the achievement of certain EBITDA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milestones by the businesses that Kestrel conducted immediately prior to the closing and any extensions of such businesses or related or ancillary businesses existing thereafter subsequent to completion of the transaction through May 31, 2028 ("Performance Period"). During the three and six months ended June 30, 2025, the earn out liability increased by $2.7 million based upon current estimates of the Kestrel business for the Performance Period, including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the program services business through June 30, 2025.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and Other Losses</w:t>
      </w:r>
    </w:p>
    <w:p>
      <w:pPr>
        <w:spacing w:after="0" w:line="7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Foreign currency fluctuations are primarily driven by exposures to euro, British pound and other non-USD denominated net loss reserves and insurance related liabilities in excess of foreign currency assets in our Legacy Reinsurance segment.</w:t>
      </w:r>
    </w:p>
    <w:p>
      <w:pPr>
        <w:spacing w:after="0" w:line="41"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Net foreign exchange and other losses of $5.0 million were realized for the three and six months ended June 30, 2025 compared to net foreign exchange and other losses of $0.0 million for the same period in 2024. For the three and six months ended June 30, 2025, net foreign exchange losses of $5.1 million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were attributable to significant weakening of the U.S. dollar on the re-measurement of net loss reserves and insurance related liabilities denominated in the British pound and euro.</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non-USD denominated liabilities at June 30, 2025 included net loss reserves of $341.3 million. Our foreign currency asset exposures at June 30,</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2025 included $139.4 million of fixed maturity securities managed by our investment managers who have the discretion to hold foreign currency exposures as part of their total return strategy, $33.2 million of real estate investments denominated in Canadian dollars, as well as $12.1 million of funds withheld receivable.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 by Reportable Segment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Services Segment</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segment results for our Program Services segment for the three and six months ended June 30, 2025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270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160" w:type="dxa"/>
            <w:vAlign w:val="bottom"/>
            <w:tcBorders>
              <w:bottom w:val="single" w:sz="8" w:color="CCFFCC"/>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FFC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516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Fee revenue</w:t>
            </w:r>
          </w:p>
        </w:tc>
        <w:tc>
          <w:tcPr>
            <w:tcW w:w="20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FFCC"/>
          </w:tcPr>
          <w:p>
            <w:pPr>
              <w:jc w:val="center"/>
              <w:ind w:left="718"/>
              <w:spacing w:after="0"/>
              <w:rPr>
                <w:sz w:val="20"/>
                <w:szCs w:val="20"/>
                <w:color w:val="auto"/>
              </w:rPr>
            </w:pPr>
            <w:r>
              <w:rPr>
                <w:rFonts w:ascii="Times New Roman" w:cs="Times New Roman" w:eastAsia="Times New Roman" w:hAnsi="Times New Roman"/>
                <w:sz w:val="18"/>
                <w:szCs w:val="18"/>
                <w:color w:val="auto"/>
                <w:w w:val="96"/>
              </w:rPr>
              <w:t>544</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FFCC"/>
          </w:tcPr>
          <w:p>
            <w:pPr>
              <w:spacing w:after="0"/>
              <w:rPr>
                <w:sz w:val="19"/>
                <w:szCs w:val="19"/>
                <w:color w:val="auto"/>
              </w:rPr>
            </w:pP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28"/>
        </w:trPr>
        <w:tc>
          <w:tcPr>
            <w:tcW w:w="516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678"/>
              <w:spacing w:after="0"/>
              <w:rPr>
                <w:sz w:val="20"/>
                <w:szCs w:val="20"/>
                <w:color w:val="auto"/>
              </w:rPr>
            </w:pPr>
            <w:r>
              <w:rPr>
                <w:rFonts w:ascii="Times New Roman" w:cs="Times New Roman" w:eastAsia="Times New Roman" w:hAnsi="Times New Roman"/>
                <w:sz w:val="18"/>
                <w:szCs w:val="18"/>
                <w:color w:val="auto"/>
                <w:w w:val="97"/>
              </w:rPr>
              <w:t>(768)</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46"/>
        </w:trPr>
        <w:tc>
          <w:tcPr>
            <w:tcW w:w="51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Segment (loss) income</w:t>
            </w:r>
          </w:p>
        </w:tc>
        <w:tc>
          <w:tcPr>
            <w:tcW w:w="200" w:type="dxa"/>
            <w:vAlign w:val="bottom"/>
            <w:tcBorders>
              <w:bottom w:val="single" w:sz="8" w:color="auto"/>
            </w:tcBorders>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FFCC"/>
          </w:tcPr>
          <w:p>
            <w:pPr>
              <w:jc w:val="center"/>
              <w:ind w:left="678"/>
              <w:spacing w:after="0"/>
              <w:rPr>
                <w:sz w:val="20"/>
                <w:szCs w:val="20"/>
                <w:color w:val="auto"/>
              </w:rPr>
            </w:pPr>
            <w:r>
              <w:rPr>
                <w:rFonts w:ascii="Times New Roman" w:cs="Times New Roman" w:eastAsia="Times New Roman" w:hAnsi="Times New Roman"/>
                <w:sz w:val="18"/>
                <w:szCs w:val="18"/>
                <w:color w:val="auto"/>
                <w:w w:val="97"/>
              </w:rPr>
              <w:t>(224)</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516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2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Program Services segment results decreased by $0.2 million and $0.3 million for the three and six months ended June 30, 2025 compared to the same</w:t>
      </w:r>
    </w:p>
    <w:p>
      <w:pPr>
        <w:jc w:val="both"/>
        <w:spacing w:after="0" w:line="205" w:lineRule="auto"/>
        <w:rPr>
          <w:sz w:val="20"/>
          <w:szCs w:val="20"/>
          <w:color w:val="auto"/>
        </w:rPr>
      </w:pPr>
      <w:r>
        <w:rPr>
          <w:rFonts w:ascii="Times New Roman" w:cs="Times New Roman" w:eastAsia="Times New Roman" w:hAnsi="Times New Roman"/>
          <w:sz w:val="17"/>
          <w:szCs w:val="17"/>
          <w:color w:val="auto"/>
        </w:rPr>
        <w:t>respective periods in 2024. Fee revenue from our Program Services segment was $0.5 million and $1.4 million for the three and six months ended June 30, 2025 compared to $0.6 million and $1.8 million for the same respective periods in 2024. Fee revenue decreased by $33.0 thousand and $0.4 million due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reduction in permitted capacity for certain programs and lines of business.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Legacy Reinsurance Segment</w:t>
      </w:r>
    </w:p>
    <w:p>
      <w:pPr>
        <w:spacing w:after="0" w:line="79" w:lineRule="exact"/>
        <w:rPr>
          <w:sz w:val="20"/>
          <w:szCs w:val="20"/>
          <w:color w:val="auto"/>
        </w:rPr>
      </w:pPr>
    </w:p>
    <w:p>
      <w:pPr>
        <w:jc w:val="both"/>
        <w:ind w:firstLine="241"/>
        <w:spacing w:after="0" w:line="205" w:lineRule="auto"/>
        <w:rPr>
          <w:sz w:val="20"/>
          <w:szCs w:val="20"/>
          <w:color w:val="auto"/>
        </w:rPr>
      </w:pPr>
      <w:r>
        <w:rPr>
          <w:rFonts w:ascii="Times New Roman" w:cs="Times New Roman" w:eastAsia="Times New Roman" w:hAnsi="Times New Roman"/>
          <w:sz w:val="18"/>
          <w:szCs w:val="18"/>
          <w:color w:val="auto"/>
        </w:rPr>
        <w:t>The following details the results for the two components of the Legacy Reinsurance segment which is comprised of Diversified Reinsurance Legacy Business and the AmTrust Reinsurance Legacy Business. The underwriting results for our Legacy Reinsurance segment for the three and six months 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2025 were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
        </w:trPr>
        <w:tc>
          <w:tcPr>
            <w:tcW w:w="9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978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Gross premiums written</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0"/>
        </w:trPr>
        <w:tc>
          <w:tcPr>
            <w:tcW w:w="978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80" w:type="dxa"/>
            <w:vAlign w:val="bottom"/>
            <w:tcBorders>
              <w:bottom w:val="single" w:sz="8" w:color="CCFFCC"/>
            </w:tcBorders>
            <w:gridSpan w:val="2"/>
            <w:vMerge w:val="continue"/>
          </w:tcPr>
          <w:p>
            <w:pPr>
              <w:spacing w:after="0"/>
              <w:rPr>
                <w:sz w:val="17"/>
                <w:szCs w:val="17"/>
                <w:color w:val="auto"/>
              </w:rPr>
            </w:pPr>
          </w:p>
        </w:tc>
        <w:tc>
          <w:tcPr>
            <w:tcW w:w="340" w:type="dxa"/>
            <w:vAlign w:val="bottom"/>
            <w:tcBorders>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1"/>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28"/>
        </w:trPr>
        <w:tc>
          <w:tcPr>
            <w:tcW w:w="9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 and LAE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0" w:type="dxa"/>
            <w:vAlign w:val="bottom"/>
          </w:tcPr>
          <w:p>
            <w:pPr>
              <w:spacing w:after="0"/>
              <w:rPr>
                <w:sz w:val="1"/>
                <w:szCs w:val="1"/>
                <w:color w:val="auto"/>
              </w:rPr>
            </w:pPr>
          </w:p>
        </w:tc>
      </w:tr>
      <w:tr>
        <w:trPr>
          <w:trHeight w:val="228"/>
        </w:trPr>
        <w:tc>
          <w:tcPr>
            <w:tcW w:w="978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8"/>
        </w:trPr>
        <w:tc>
          <w:tcPr>
            <w:tcW w:w="978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46"/>
        </w:trPr>
        <w:tc>
          <w:tcPr>
            <w:tcW w:w="9780" w:type="dxa"/>
            <w:vAlign w:val="bottom"/>
            <w:tcBorders>
              <w:bottom w:val="single" w:sz="8" w:color="CCFFCC"/>
            </w:tcBorders>
            <w:gridSpan w:val="2"/>
            <w:shd w:val="clear" w:color="auto" w:fill="CCFFCC"/>
          </w:tcPr>
          <w:p>
            <w:pPr>
              <w:ind w:left="160"/>
              <w:spacing w:after="0"/>
              <w:rPr>
                <w:sz w:val="20"/>
                <w:szCs w:val="20"/>
                <w:color w:val="auto"/>
              </w:rPr>
            </w:pPr>
            <w:r>
              <w:rPr>
                <w:rFonts w:ascii="Times New Roman" w:cs="Times New Roman" w:eastAsia="Times New Roman" w:hAnsi="Times New Roman"/>
                <w:sz w:val="18"/>
                <w:szCs w:val="18"/>
                <w:b w:val="1"/>
                <w:bCs w:val="1"/>
                <w:color w:val="auto"/>
              </w:rPr>
              <w:t>Underwriting loss</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0"/>
        </w:trPr>
        <w:tc>
          <w:tcPr>
            <w:tcW w:w="96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Diversified Reinsurance Legacy Business: </w:t>
      </w:r>
      <w:r>
        <w:rPr>
          <w:rFonts w:ascii="Times New Roman" w:cs="Times New Roman" w:eastAsia="Times New Roman" w:hAnsi="Times New Roman"/>
          <w:sz w:val="18"/>
          <w:szCs w:val="18"/>
          <w:color w:val="auto"/>
        </w:rPr>
        <w:t>The underwriting results for Diversified Reinsurance legacy business for the three and six months ended</w:t>
      </w:r>
    </w:p>
    <w:p>
      <w:pPr>
        <w:ind w:left="160"/>
        <w:spacing w:after="0"/>
        <w:rPr>
          <w:sz w:val="20"/>
          <w:szCs w:val="20"/>
          <w:color w:val="auto"/>
        </w:rPr>
      </w:pPr>
      <w:r>
        <w:rPr>
          <w:rFonts w:ascii="Times New Roman" w:cs="Times New Roman" w:eastAsia="Times New Roman" w:hAnsi="Times New Roman"/>
          <w:sz w:val="18"/>
          <w:szCs w:val="18"/>
          <w:color w:val="auto"/>
        </w:rPr>
        <w:t>June 30, 2025 were as follows: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
        </w:trPr>
        <w:tc>
          <w:tcPr>
            <w:tcW w:w="96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974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Gross premiums written</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0"/>
        </w:trPr>
        <w:tc>
          <w:tcPr>
            <w:tcW w:w="974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740" w:type="dxa"/>
            <w:vAlign w:val="bottom"/>
            <w:tcBorders>
              <w:bottom w:val="single" w:sz="8" w:color="CCFFCC"/>
            </w:tcBorders>
            <w:gridSpan w:val="2"/>
            <w:vMerge w:val="continue"/>
          </w:tcPr>
          <w:p>
            <w:pPr>
              <w:spacing w:after="0"/>
              <w:rPr>
                <w:sz w:val="17"/>
                <w:szCs w:val="17"/>
                <w:color w:val="auto"/>
              </w:rPr>
            </w:pPr>
          </w:p>
        </w:tc>
        <w:tc>
          <w:tcPr>
            <w:tcW w:w="340" w:type="dxa"/>
            <w:vAlign w:val="bottom"/>
            <w:tcBorders>
              <w:bottom w:val="single" w:sz="8" w:color="auto"/>
            </w:tcBorders>
          </w:tcPr>
          <w:p>
            <w:pPr>
              <w:jc w:val="right"/>
              <w:ind w:right="151"/>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21"/>
        </w:trPr>
        <w:tc>
          <w:tcPr>
            <w:tcW w:w="97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28"/>
        </w:trPr>
        <w:tc>
          <w:tcPr>
            <w:tcW w:w="9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 and LAE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8"/>
        </w:trPr>
        <w:tc>
          <w:tcPr>
            <w:tcW w:w="97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28"/>
        </w:trPr>
        <w:tc>
          <w:tcPr>
            <w:tcW w:w="97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46"/>
        </w:trPr>
        <w:tc>
          <w:tcPr>
            <w:tcW w:w="9740" w:type="dxa"/>
            <w:vAlign w:val="bottom"/>
            <w:tcBorders>
              <w:bottom w:val="single" w:sz="8" w:color="CCFFCC"/>
            </w:tcBorders>
            <w:gridSpan w:val="2"/>
            <w:shd w:val="clear" w:color="auto" w:fill="CCFFCC"/>
          </w:tcPr>
          <w:p>
            <w:pPr>
              <w:ind w:left="140"/>
              <w:spacing w:after="0"/>
              <w:rPr>
                <w:sz w:val="20"/>
                <w:szCs w:val="20"/>
                <w:color w:val="auto"/>
              </w:rPr>
            </w:pPr>
            <w:r>
              <w:rPr>
                <w:rFonts w:ascii="Times New Roman" w:cs="Times New Roman" w:eastAsia="Times New Roman" w:hAnsi="Times New Roman"/>
                <w:sz w:val="18"/>
                <w:szCs w:val="18"/>
                <w:b w:val="1"/>
                <w:bCs w:val="1"/>
                <w:color w:val="auto"/>
              </w:rPr>
              <w:t>Underwriting loss</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0"/>
        </w:trPr>
        <w:tc>
          <w:tcPr>
            <w:tcW w:w="96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Underwriting loss by business unit is detailed in the table below for Diversified Reinsurance business during the three and six months ended June 30, 2025:</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9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20" w:type="dxa"/>
            <w:vAlign w:val="bottom"/>
          </w:tcPr>
          <w:p>
            <w:pPr>
              <w:spacing w:after="0"/>
              <w:rPr>
                <w:sz w:val="18"/>
                <w:szCs w:val="18"/>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4"/>
        </w:trPr>
        <w:tc>
          <w:tcPr>
            <w:tcW w:w="9560" w:type="dxa"/>
            <w:vAlign w:val="bottom"/>
            <w:tcBorders>
              <w:top w:val="single" w:sz="8" w:color="auto"/>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top w:val="single" w:sz="8" w:color="CCFFCC"/>
            </w:tcBorders>
            <w:shd w:val="clear" w:color="auto" w:fill="CCFFCC"/>
          </w:tcPr>
          <w:p>
            <w:pPr>
              <w:spacing w:after="0"/>
              <w:rPr>
                <w:sz w:val="19"/>
                <w:szCs w:val="19"/>
                <w:color w:val="auto"/>
              </w:rPr>
            </w:pPr>
          </w:p>
        </w:tc>
        <w:tc>
          <w:tcPr>
            <w:tcW w:w="320" w:type="dxa"/>
            <w:vAlign w:val="bottom"/>
            <w:tcBorders>
              <w:top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28"/>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8"/>
        </w:trPr>
        <w:tc>
          <w:tcPr>
            <w:tcW w:w="96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run-off lines</w:t>
            </w: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1"/>
        </w:trPr>
        <w:tc>
          <w:tcPr>
            <w:tcW w:w="9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Underwriting loss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both"/>
        <w:ind w:firstLine="241"/>
        <w:spacing w:after="0" w:line="21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Premiums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discussed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Maiden LF and Maiden GF are not writing any new business and have entered into the AmTrust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Renewal Rights Agreements which cover certain programs of Maiden LF and Maiden GF's primary business written in Sweden, Norway, other Nordic countries, the United Kingdom and Ireland. Maiden LF and Maiden GF are presently the principal operating subsidiaries of the Company’s IIS platform;</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therefore we will continue to experience limited premium written for 2025 in the Diversified Reinsurance Legacy Business. Please refer to </w:t>
      </w:r>
      <w:r>
        <w:rPr>
          <w:rFonts w:ascii="Times New Roman" w:cs="Times New Roman" w:eastAsia="Times New Roman" w:hAnsi="Times New Roman"/>
          <w:sz w:val="18"/>
          <w:szCs w:val="18"/>
          <w:i w:val="1"/>
          <w:iCs w:val="1"/>
          <w:color w:val="auto"/>
        </w:rPr>
        <w:t>Note 14.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of the Notes to Condensed Consolidated Financial Statements under Part I Item 1.</w:t>
      </w:r>
      <w:r>
        <w:rPr>
          <w:rFonts w:ascii="Times New Roman" w:cs="Times New Roman" w:eastAsia="Times New Roman" w:hAnsi="Times New Roman"/>
          <w:sz w:val="18"/>
          <w:szCs w:val="18"/>
          <w:i w:val="1"/>
          <w:iCs w:val="1"/>
          <w:color w:val="auto"/>
        </w:rPr>
        <w:t xml:space="preserve"> "Financial Information" </w:t>
      </w:r>
      <w:r>
        <w:rPr>
          <w:rFonts w:ascii="Times New Roman" w:cs="Times New Roman" w:eastAsia="Times New Roman" w:hAnsi="Times New Roman"/>
          <w:sz w:val="18"/>
          <w:szCs w:val="18"/>
          <w:color w:val="auto"/>
        </w:rPr>
        <w:t>for more details.</w:t>
      </w:r>
    </w:p>
    <w:p>
      <w:pPr>
        <w:spacing w:after="0" w:line="45"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and LAE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loss and LAE were $0.8 million for the three and six months ended June 30, 2025. The net loss and LAE was impacted by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PPD of $0.1 million for the three and six months ended June 30, 2025, respectively.</w:t>
      </w:r>
    </w:p>
    <w:p>
      <w:pPr>
        <w:spacing w:after="0" w:line="35" w:lineRule="exact"/>
        <w:rPr>
          <w:sz w:val="20"/>
          <w:szCs w:val="20"/>
          <w:color w:val="auto"/>
        </w:rPr>
      </w:pPr>
    </w:p>
    <w:p>
      <w:pPr>
        <w:jc w:val="both"/>
        <w:ind w:firstLine="241"/>
        <w:spacing w:after="0" w:line="22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 and Other Acquisition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and other acquisition expenses were $0.4 million for the three and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2025. This is driven by lower premiums written and earned by Maiden LF and GF as they are not writing any new business having entered into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AmTrust Renewal Rights Agreements in 2024.</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were $1.3 million for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3" w:name="page64"/>
    <w:bookmarkEnd w:id="63"/>
    <w:p>
      <w:pPr>
        <w:ind w:right="2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AmTrust Reinsurance Legacy Business: </w:t>
      </w:r>
      <w:r>
        <w:rPr>
          <w:rFonts w:ascii="Times New Roman" w:cs="Times New Roman" w:eastAsia="Times New Roman" w:hAnsi="Times New Roman"/>
          <w:sz w:val="18"/>
          <w:szCs w:val="18"/>
          <w:color w:val="auto"/>
        </w:rPr>
        <w:t>The underwriting results for AmTrust Reinsurance Legacy business for the three and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
        </w:trPr>
        <w:tc>
          <w:tcPr>
            <w:tcW w:w="9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980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Gross premiums written</w:t>
            </w:r>
          </w:p>
        </w:tc>
        <w:tc>
          <w:tcPr>
            <w:tcW w:w="34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9800" w:type="dxa"/>
            <w:vAlign w:val="bottom"/>
            <w:tcBorders>
              <w:top w:val="single" w:sz="8" w:color="CCFFCC"/>
              <w:bottom w:val="single" w:sz="8" w:color="CCFFCC"/>
            </w:tcBorders>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800" w:type="dxa"/>
            <w:vAlign w:val="bottom"/>
            <w:tcBorders>
              <w:bottom w:val="single" w:sz="8" w:color="CCFFCC"/>
            </w:tcBorders>
            <w:gridSpan w:val="2"/>
            <w:vMerge w:val="continue"/>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1"/>
        </w:trPr>
        <w:tc>
          <w:tcPr>
            <w:tcW w:w="98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28"/>
        </w:trPr>
        <w:tc>
          <w:tcPr>
            <w:tcW w:w="9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loss and LAE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28"/>
        </w:trPr>
        <w:tc>
          <w:tcPr>
            <w:tcW w:w="98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Commission and other acquisition expenses</w:t>
            </w: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8"/>
        </w:trPr>
        <w:tc>
          <w:tcPr>
            <w:tcW w:w="980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46"/>
        </w:trPr>
        <w:tc>
          <w:tcPr>
            <w:tcW w:w="980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34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0" w:type="dxa"/>
            <w:vAlign w:val="bottom"/>
          </w:tcPr>
          <w:p>
            <w:pPr>
              <w:spacing w:after="0"/>
              <w:rPr>
                <w:sz w:val="1"/>
                <w:szCs w:val="1"/>
                <w:color w:val="auto"/>
              </w:rPr>
            </w:pPr>
          </w:p>
        </w:tc>
      </w:tr>
      <w:tr>
        <w:trPr>
          <w:trHeight w:val="20"/>
        </w:trPr>
        <w:tc>
          <w:tcPr>
            <w:tcW w:w="97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negative written premiums for the three and six months ended June 30, 2025 reflect the termination of the AmTrust Quota Share and the European</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Hospital Liability Quota Share as of January 1, 2019 which has resulted in no new business written under these contracts since 2018. The table below provides detail on net premiums earned in the three and six months ended June 30, 2025:</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9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20" w:type="dxa"/>
            <w:vAlign w:val="bottom"/>
          </w:tcPr>
          <w:p>
            <w:pPr>
              <w:spacing w:after="0"/>
              <w:rPr>
                <w:sz w:val="16"/>
                <w:szCs w:val="16"/>
                <w:color w:val="auto"/>
              </w:rPr>
            </w:pPr>
          </w:p>
        </w:tc>
        <w:tc>
          <w:tcPr>
            <w:tcW w:w="110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958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1"/>
        </w:trPr>
        <w:tc>
          <w:tcPr>
            <w:tcW w:w="97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Premiums Earned</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28"/>
        </w:trPr>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Small Commercial Business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8"/>
        </w:trPr>
        <w:tc>
          <w:tcPr>
            <w:tcW w:w="970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Specialty Risk and Extended Warranty</w:t>
            </w:r>
          </w:p>
        </w:tc>
        <w:tc>
          <w:tcPr>
            <w:tcW w:w="32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1"/>
        </w:trPr>
        <w:tc>
          <w:tcPr>
            <w:tcW w:w="9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AmTrust Reinsurance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0"/>
        </w:trPr>
        <w:tc>
          <w:tcPr>
            <w:tcW w:w="9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firstLine="241"/>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Loss and LAE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loss and LAE expenses of $6.8 million for the three and six months ended June 30, 2025 was largely due to favorable PPD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$7.9 million. The table below shows PPD for the AmTrust Reinsurance Legacy business for the three and six months ended June 30, 2025:</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w:t>
            </w:r>
          </w:p>
        </w:tc>
        <w:tc>
          <w:tcPr>
            <w:tcW w:w="380" w:type="dxa"/>
            <w:vAlign w:val="bottom"/>
          </w:tcPr>
          <w:p>
            <w:pPr>
              <w:spacing w:after="0"/>
              <w:rPr>
                <w:sz w:val="16"/>
                <w:szCs w:val="16"/>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
        </w:trPr>
        <w:tc>
          <w:tcPr>
            <w:tcW w:w="9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8"/>
        </w:trPr>
        <w:tc>
          <w:tcPr>
            <w:tcW w:w="964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Prior Year Loss Development adverse (favorable)</w:t>
            </w:r>
          </w:p>
        </w:tc>
        <w:tc>
          <w:tcPr>
            <w:tcW w:w="120" w:type="dxa"/>
            <w:vAlign w:val="bottom"/>
            <w:shd w:val="clear" w:color="auto" w:fill="CCFFCC"/>
          </w:tcPr>
          <w:p>
            <w:pPr>
              <w:spacing w:after="0"/>
              <w:rPr>
                <w:sz w:val="18"/>
                <w:szCs w:val="18"/>
                <w:color w:val="auto"/>
              </w:rPr>
            </w:pPr>
          </w:p>
        </w:tc>
        <w:tc>
          <w:tcPr>
            <w:tcW w:w="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FFCC"/>
          </w:tcPr>
          <w:p>
            <w:pPr>
              <w:jc w:val="right"/>
              <w:ind w:right="177"/>
              <w:spacing w:after="0"/>
              <w:rPr>
                <w:sz w:val="20"/>
                <w:szCs w:val="20"/>
                <w:color w:val="auto"/>
              </w:rPr>
            </w:pPr>
            <w:r>
              <w:rPr>
                <w:rFonts w:ascii="Times New Roman" w:cs="Times New Roman" w:eastAsia="Times New Roman" w:hAnsi="Times New Roman"/>
                <w:sz w:val="14"/>
                <w:szCs w:val="14"/>
                <w:color w:val="auto"/>
              </w:rPr>
              <w:t>in thousands)</w:t>
            </w:r>
          </w:p>
        </w:tc>
      </w:tr>
      <w:tr>
        <w:trPr>
          <w:trHeight w:val="228"/>
        </w:trPr>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AmTrust Quota Share</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28"/>
        </w:trPr>
        <w:tc>
          <w:tcPr>
            <w:tcW w:w="9760" w:type="dxa"/>
            <w:vAlign w:val="bottom"/>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LPT/ADC Agreement</w:t>
            </w:r>
          </w:p>
        </w:tc>
        <w:tc>
          <w:tcPr>
            <w:tcW w:w="38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8"/>
        </w:trPr>
        <w:tc>
          <w:tcPr>
            <w:tcW w:w="9760" w:type="dxa"/>
            <w:vAlign w:val="bottom"/>
            <w:tcBorders>
              <w:bottom w:val="single" w:sz="8" w:color="CCFFCC"/>
            </w:tcBorders>
            <w:gridSpan w:val="2"/>
          </w:tcPr>
          <w:p>
            <w:pPr>
              <w:ind w:left="40"/>
              <w:spacing w:after="0"/>
              <w:rPr>
                <w:sz w:val="20"/>
                <w:szCs w:val="20"/>
                <w:color w:val="auto"/>
              </w:rPr>
            </w:pPr>
            <w:r>
              <w:rPr>
                <w:rFonts w:ascii="Times New Roman" w:cs="Times New Roman" w:eastAsia="Times New Roman" w:hAnsi="Times New Roman"/>
                <w:sz w:val="18"/>
                <w:szCs w:val="18"/>
                <w:color w:val="auto"/>
              </w:rPr>
              <w:t>European Hospital Liability Quota Share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6"/>
        </w:trPr>
        <w:tc>
          <w:tcPr>
            <w:tcW w:w="9760" w:type="dxa"/>
            <w:vAlign w:val="bottom"/>
            <w:tcBorders>
              <w:bottom w:val="single" w:sz="8" w:color="CCFFCC"/>
            </w:tcBorders>
            <w:gridSpan w:val="2"/>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Total AmTrust Prior Year Development</w:t>
            </w:r>
          </w:p>
        </w:tc>
        <w:tc>
          <w:tcPr>
            <w:tcW w:w="380" w:type="dxa"/>
            <w:vAlign w:val="bottom"/>
            <w:tcBorders>
              <w:bottom w:val="single" w:sz="8" w:color="auto"/>
            </w:tcBorders>
            <w:shd w:val="clear" w:color="auto" w:fill="CCFFCC"/>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0"/>
        </w:trPr>
        <w:tc>
          <w:tcPr>
            <w:tcW w:w="96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8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Net favorable PPD for the three and six months ended June 30, 2025 was $7.9 million which was largely due to foreign exchange fluctuations on loss reserves denominated in non-USD.</w:t>
      </w:r>
    </w:p>
    <w:p>
      <w:pPr>
        <w:spacing w:after="0" w:line="37" w:lineRule="exact"/>
        <w:rPr>
          <w:sz w:val="20"/>
          <w:szCs w:val="20"/>
          <w:color w:val="auto"/>
        </w:rPr>
      </w:pPr>
    </w:p>
    <w:p>
      <w:pPr>
        <w:jc w:val="both"/>
        <w:ind w:firstLine="241"/>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Commission and Other Acquisition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Commission and other acquisition expenses were negative $0.0 million for the three and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2025.</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were $0.5 million for the three and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Kestrel Group is a holding company and transacts no business of its own. We therefore rely on cash flows in the form of dividends, advances, loans and other permitted distributions from our subsidiary companies to pay expenses and make dividend payments on our common shares. The jurisdictions in which our operating subsidiaries are licensed to write business impose regulations requiring companies to maintain or meet statutory solvency and liquidity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 also place restrictions on the declaration and payment of dividends and other distributions.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 xml:space="preserve">As a result of the completion of the Combination on May 27, 2025, the Company has acquired significant investable assets and additional sources of investment income as discussed in </w:t>
      </w:r>
      <w:r>
        <w:rPr>
          <w:rFonts w:ascii="Times New Roman" w:cs="Times New Roman" w:eastAsia="Times New Roman" w:hAnsi="Times New Roman"/>
          <w:sz w:val="18"/>
          <w:szCs w:val="18"/>
          <w:i w:val="1"/>
          <w:iCs w:val="1"/>
          <w:color w:val="auto"/>
        </w:rPr>
        <w:t>Part I, Item 1 - Notes to Condensed Consolidated Financial Statements (unaudited) "Note 4.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included in this Form 10-Q. As of June 30, 2025, the Company had investable assets of $565.5 million compared to $4.3 million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2024. Investable assets include the combined total of our fixed maturity securities and other investments, cash and restricted cash including cash equivalents, net loan receivable from a related party and funds withheld receivable.</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Maiden Reinsurance re-domesticated from Bermuda to Vermont on March 16, 2020. We are actively engaged with the Vermont DFR regarding Maiden Reinsurance's longer term business plan, including its investment policy, changes to which require prior regulatory approval as stipulated by Vermont law or the Vermont DFR for active underwriting, capital management or other strategic initiatives, including our Combination Agreement with Kestrel. Maiden</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Reinsurance has received all necessary approvals required to date by the Vermont DFR in respect of its business plan, including GLS activities and investment policy amendments in 2021.</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Maiden Reinsurance's Investment Policy, as approved and as amended by the Vermont DFR in the second quarter 2025, maintains our established</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investment management and governance practices. The amended Investment Policy however includes significant modifications to this policy as follows: 1) Maiden Reinsurance will not purchase any additional affiliated securities, including common shares of the Company or senior notes issued by Maiden Holdings or Maiden NA; and 2) Maiden Reinsurance will make no new commitments for alternative assets, consistent with the practice it had already</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adopted ahead of this policy amendment. Maiden Reinsurance expects to fulfill its remaining commitments to existing investments, which totals $38,441 in unfunded commitments as of June 30, 2025.</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May 2025, the Vermont DFR approved: 1) an annual dividend program to be paid by Maiden Reinsurance to Maiden NA, with notification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Vermont DFR as dividends are paid; and 2) an extraordinary dividend of $40.0 million and this dividend formed the basis for the consideration received by the Company's shareholders pursuant to the terms of the Combination Agreement. During the six months ended June 30, 2025, Maiden Reinsurance paid dividends of $13.8 million to Maiden NA as part of the approved annual dividend program. During the six months ended June 30, 2025, Maiden NA did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any dividends to Maiden Holdings.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We may experience continued volatility in our results of operations which could negatively impact our financial condition and create a reduction in the amount of available distribution or dividend capacity from our regulated reinsurance subsidiaries, which would also reduce liquidity. Further, we and our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insurance subsidiaries may need additional capital to maintain compliance with regulatory capital requirements and/or be required to post additional collateral under existing reinsurance arrangements, which could reduce our liquidity.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investing and financing cash flows</w:t>
      </w:r>
    </w:p>
    <w:p>
      <w:pPr>
        <w:spacing w:after="0" w:line="90" w:lineRule="exact"/>
        <w:rPr>
          <w:sz w:val="20"/>
          <w:szCs w:val="20"/>
          <w:color w:val="auto"/>
        </w:rPr>
      </w:pPr>
    </w:p>
    <w:p>
      <w:pPr>
        <w:jc w:val="both"/>
        <w:ind w:firstLine="241"/>
        <w:spacing w:after="0" w:line="211" w:lineRule="auto"/>
        <w:rPr>
          <w:sz w:val="20"/>
          <w:szCs w:val="20"/>
          <w:color w:val="auto"/>
        </w:rPr>
      </w:pPr>
      <w:r>
        <w:rPr>
          <w:rFonts w:ascii="Times New Roman" w:cs="Times New Roman" w:eastAsia="Times New Roman" w:hAnsi="Times New Roman"/>
          <w:sz w:val="18"/>
          <w:szCs w:val="18"/>
          <w:color w:val="auto"/>
        </w:rPr>
        <w:t>Our sources of funds historically have consisted of premium receipts net of commissions and brokerage, investment income, net proceeds from capital raising activities, and proceeds from sales, maturities, pay downs and redemption of investments. Cash is currently used primarily to pay loss and LAE, ceded reinsurance premium, general and administrative expenses, and interest expense, with the remainder in excess of our operating requirements made available to our investment managers for investment in accordance with our investment policy as well as for capital management such as repurchasing our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During the six months ended June 30, 2025, we experienced negative operating cash flows as we run off the AmTrust Reinsurance Legacy Business reserves as shown in the cash flows table further below. We currently expect a trend of positive investing cash flows through 2025, and we will use funds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from cash and investment portfolios, fee revenue premiums, investment income and proceeds from investment sales and redemptions to meet our expected claims payments and operational expenses. Claim payments will be principally from the run-off of existing reserves for loss and LAE. A significant portion of those liabilities are collateralized and claim payments will be funded by using this collateral which should provide sufficient funding to fulfill those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Company’s management believes our current sources of liquidity are adequate to meet its cash requirements for the next twelve months as we generally expect operating cash flows to be sufficiently offset by investing cash flows. The consideration and related significant expenses associated with</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completing the combination has utilized substantial amounts of Maiden's current liquidity. While we continue to expect our cash flows to be sufficient to meet our cash requirements and to operate our business, as our reinsurance liabilities continue to run-off our balance sheet increasingly consists of more illiquid securities which we are seeking to dispose of for more liquid assets. Our inability to monetize these illiquid assets on a timely basis while fulfilling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ongoing obligations may restrain our liquidity further and we may need to consider measures to ensure we continue to fulfill those obligations.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Further, while no new alternative asset commitments have been or will be made, Maiden's historical asset management strategy which was part of the Combination can be impacted by both investment specific and broader financial market conditions and may not produce the expected liquidity and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 these investments are designed to achieve, or the timing thereof may also be impacted by those factors.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65" w:name="page66"/>
    <w:bookmarkEnd w:id="65"/>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At June 30, 2025, unrestricted cash, cash equivalents and fixed maturity investments were $28.0 million compared to $4.3 million held at December 31, 2024, an increase of $23.7 million during the six months ended June 30, 2025. Please see the related discussion on investing and financing cash flows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operating, investing and financing cash flows for the six months ended June 30, 2025 and 2024:</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in thousands)</w:t>
            </w:r>
          </w:p>
        </w:tc>
        <w:tc>
          <w:tcPr>
            <w:tcW w:w="940" w:type="dxa"/>
            <w:vAlign w:val="bottom"/>
          </w:tcPr>
          <w:p>
            <w:pPr>
              <w:spacing w:after="0"/>
              <w:rPr>
                <w:sz w:val="16"/>
                <w:szCs w:val="16"/>
                <w:color w:val="auto"/>
              </w:rPr>
            </w:pPr>
          </w:p>
        </w:tc>
      </w:tr>
      <w:tr>
        <w:trPr>
          <w:trHeight w:val="236"/>
        </w:trPr>
        <w:tc>
          <w:tcPr>
            <w:tcW w:w="82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(20,738)</w:t>
            </w:r>
          </w:p>
        </w:tc>
        <w:tc>
          <w:tcPr>
            <w:tcW w:w="120" w:type="dxa"/>
            <w:vAlign w:val="bottom"/>
            <w:shd w:val="clear" w:color="auto" w:fill="CCFFCC"/>
          </w:tcPr>
          <w:p>
            <w:pPr>
              <w:spacing w:after="0"/>
              <w:rPr>
                <w:sz w:val="20"/>
                <w:szCs w:val="20"/>
                <w:color w:val="auto"/>
              </w:rPr>
            </w:pPr>
          </w:p>
        </w:tc>
        <w:tc>
          <w:tcPr>
            <w:tcW w:w="480" w:type="dxa"/>
            <w:vAlign w:val="bottom"/>
            <w:shd w:val="clear" w:color="auto" w:fill="CCFFCC"/>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8"/>
        </w:trPr>
        <w:tc>
          <w:tcPr>
            <w:tcW w:w="8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4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40" w:type="dxa"/>
            <w:vAlign w:val="bottom"/>
            <w:shd w:val="clear" w:color="auto" w:fill="CCFFCC"/>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4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foreign currency cash</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FFC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24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increase (decrease) in cash, restricted cash and cash equivalents</w:t>
            </w:r>
          </w:p>
        </w:tc>
        <w:tc>
          <w:tcPr>
            <w:tcW w:w="340" w:type="dxa"/>
            <w:vAlign w:val="bottom"/>
            <w:tcBorders>
              <w:bottom w:val="single" w:sz="8" w:color="auto"/>
            </w:tcBorders>
            <w:shd w:val="clear" w:color="auto" w:fill="CCFFCC"/>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28,256</w:t>
            </w:r>
          </w:p>
        </w:tc>
        <w:tc>
          <w:tcPr>
            <w:tcW w:w="120" w:type="dxa"/>
            <w:vAlign w:val="bottom"/>
            <w:tcBorders>
              <w:bottom w:val="single" w:sz="8" w:color="CCFFCC"/>
            </w:tcBorders>
            <w:shd w:val="clear" w:color="auto" w:fill="CCFFCC"/>
          </w:tcPr>
          <w:p>
            <w:pPr>
              <w:spacing w:after="0"/>
              <w:rPr>
                <w:sz w:val="20"/>
                <w:szCs w:val="20"/>
                <w:color w:val="auto"/>
              </w:rPr>
            </w:pPr>
          </w:p>
        </w:tc>
        <w:tc>
          <w:tcPr>
            <w:tcW w:w="480" w:type="dxa"/>
            <w:vAlign w:val="bottom"/>
            <w:tcBorders>
              <w:bottom w:val="single" w:sz="8" w:color="auto"/>
            </w:tcBorders>
            <w:shd w:val="clear" w:color="auto" w:fill="CCFFCC"/>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0"/>
        </w:trPr>
        <w:tc>
          <w:tcPr>
            <w:tcW w:w="8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8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480" w:type="dxa"/>
            <w:vAlign w:val="bottom"/>
            <w:tcBorders>
              <w:top w:val="single" w:sz="8" w:color="CCFFCC"/>
              <w:bottom w:val="single" w:sz="8" w:color="auto"/>
            </w:tcBorders>
          </w:tcPr>
          <w:p>
            <w:pPr>
              <w:spacing w:after="0" w:line="20" w:lineRule="exact"/>
              <w:rPr>
                <w:sz w:val="1"/>
                <w:szCs w:val="1"/>
                <w:color w:val="auto"/>
              </w:rPr>
            </w:pPr>
          </w:p>
        </w:tc>
        <w:tc>
          <w:tcPr>
            <w:tcW w:w="940" w:type="dxa"/>
            <w:vAlign w:val="bottom"/>
            <w:tcBorders>
              <w:top w:val="single" w:sz="8" w:color="CCFFCC"/>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77"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Cash flows used in operating activities for the six months ended June 30, 2025 was $20.7 million compared to cash flows used in operating activities of $0.6 million for the six months ended June 30, 2024. The increase in cash used in operating activities for the six months ended June 30, 2025 was due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payments for ongoing runoff of reinsurance liabilities.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Investing Activities</w:t>
      </w:r>
    </w:p>
    <w:p>
      <w:pPr>
        <w:spacing w:after="0" w:line="63"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Cash provided by investing activities was $88.3 million for the six months ended June 30, 2025 compared to net cash used in investing activities of $0.0 million for the same period in 2024. Cash flows provided by investing activities for the six months ended June 30, 2025 was primarily due to $79.8 million of cash acquired from the purchase of Maiden business due to the Combination which closed on May 27, 2025.</w:t>
      </w:r>
    </w:p>
    <w:p>
      <w:pPr>
        <w:spacing w:after="0" w:line="37"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For the six months ended June 30, 2025, the proceeds from the sales, maturities and calls exceeded the purchases of fixed maturity securities by $10.1 million. The size of the fixed income investment portfolio will diminish as claims payments continued to be made in the runoff of existing loss reserves for the terminated AmTrust Quota Share and the European Hospital Liability Quota Share contracts.</w:t>
      </w:r>
    </w:p>
    <w:p>
      <w:pPr>
        <w:spacing w:after="0" w:line="37" w:lineRule="exact"/>
        <w:rPr>
          <w:sz w:val="20"/>
          <w:szCs w:val="20"/>
          <w:color w:val="auto"/>
        </w:rPr>
      </w:pPr>
    </w:p>
    <w:p>
      <w:pPr>
        <w:jc w:val="both"/>
        <w:ind w:firstLine="241"/>
        <w:spacing w:after="0" w:line="213" w:lineRule="auto"/>
        <w:rPr>
          <w:sz w:val="20"/>
          <w:szCs w:val="20"/>
          <w:color w:val="auto"/>
        </w:rPr>
      </w:pPr>
      <w:r>
        <w:rPr>
          <w:rFonts w:ascii="Times New Roman" w:cs="Times New Roman" w:eastAsia="Times New Roman" w:hAnsi="Times New Roman"/>
          <w:sz w:val="18"/>
          <w:szCs w:val="18"/>
          <w:color w:val="auto"/>
        </w:rPr>
        <w:t>For the six months ended June 30, 2025 and 2024, investing cash flows included purchases of alternative investments which exceeded proceeds from the sales and redemptions. There were net purchases of $1.6 million for alternative investments during the six months ended June 30, 2025 compared to net</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purchases of alternative investments of $0.0 million for the same period in 2024. These net purchases were mainly due to pre-existing commitments for private equity fund investments for the six months ended June 30, 2025.</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Cash flows used in financing activities were $40.0 million for the six months ended June 30, 2025 compared to $0.0 million for the same period in 2024.</w:t>
      </w:r>
    </w:p>
    <w:p>
      <w:pPr>
        <w:spacing w:after="0" w:line="216" w:lineRule="auto"/>
        <w:rPr>
          <w:sz w:val="20"/>
          <w:szCs w:val="20"/>
          <w:color w:val="auto"/>
        </w:rPr>
      </w:pPr>
      <w:r>
        <w:rPr>
          <w:rFonts w:ascii="Times New Roman" w:cs="Times New Roman" w:eastAsia="Times New Roman" w:hAnsi="Times New Roman"/>
          <w:sz w:val="18"/>
          <w:szCs w:val="18"/>
          <w:color w:val="auto"/>
        </w:rPr>
        <w:t>This was due to cash dividends paid to Kestrel equityholders pursuant to the terms of the Combination Agreement which was completed on May 27, 2025.</w:t>
      </w:r>
    </w:p>
    <w:p>
      <w:pPr>
        <w:spacing w:after="0"/>
        <w:rPr>
          <w:sz w:val="20"/>
          <w:szCs w:val="20"/>
          <w:color w:val="auto"/>
        </w:rPr>
      </w:pPr>
      <w:r>
        <w:rPr>
          <w:rFonts w:ascii="Times New Roman" w:cs="Times New Roman" w:eastAsia="Times New Roman" w:hAnsi="Times New Roman"/>
          <w:sz w:val="18"/>
          <w:szCs w:val="18"/>
          <w:color w:val="auto"/>
        </w:rPr>
        <w:t>No dividends on common shares were paid during the six months ended June 30, 2025 and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Collateral and Specific Requirements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previously noted, as a result of the completion of the Combination with Maiden on May 27, 2025, the Company has acquired significant investable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 xml:space="preserve">assets and additional sources of investment income in addition to considerable loss reserves and unearned premiums under legacy reinsurance contracts as discussed in </w:t>
      </w:r>
      <w:r>
        <w:rPr>
          <w:rFonts w:ascii="Times New Roman" w:cs="Times New Roman" w:eastAsia="Times New Roman" w:hAnsi="Times New Roman"/>
          <w:sz w:val="18"/>
          <w:szCs w:val="18"/>
          <w:i w:val="1"/>
          <w:iCs w:val="1"/>
          <w:color w:val="auto"/>
        </w:rPr>
        <w:t>Part I, Item 1 - Notes to Condensed Consolidated Financial Statements (unaudited) "Note 4. 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9. Reserve for Loss and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Adjustment Expenses"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15. Business Combination" </w:t>
      </w:r>
      <w:r>
        <w:rPr>
          <w:rFonts w:ascii="Times New Roman" w:cs="Times New Roman" w:eastAsia="Times New Roman" w:hAnsi="Times New Roman"/>
          <w:sz w:val="18"/>
          <w:szCs w:val="18"/>
          <w:color w:val="auto"/>
        </w:rPr>
        <w:t>included in this Form 10-Q. Pursuant to the terms of the underlying reinsurance contracts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associated with these liabilities, Maiden Reinsurance is required in certain instances to provide collateral in various forms as security against performance to satisfy those obligations. Those collateral obligations remain with Maiden Reinsurance after completion of the Combination.</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restrictions, collateral and specific requirements are discussed in "</w:t>
      </w:r>
      <w:r>
        <w:rPr>
          <w:rFonts w:ascii="Times New Roman" w:cs="Times New Roman" w:eastAsia="Times New Roman" w:hAnsi="Times New Roman"/>
          <w:sz w:val="18"/>
          <w:szCs w:val="18"/>
          <w:i w:val="1"/>
          <w:iCs w:val="1"/>
          <w:color w:val="auto"/>
        </w:rPr>
        <w:t>Management's Discussion and Analysis of Financial Condition and</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section. Please also refer to "</w:t>
      </w:r>
      <w:r>
        <w:rPr>
          <w:rFonts w:ascii="Times New Roman" w:cs="Times New Roman" w:eastAsia="Times New Roman" w:hAnsi="Times New Roman"/>
          <w:sz w:val="18"/>
          <w:szCs w:val="18"/>
          <w:i w:val="1"/>
          <w:iCs w:val="1"/>
          <w:color w:val="auto"/>
        </w:rPr>
        <w:t xml:space="preserve">Part I, Item 1 - Notes to Condensed Consolidated Financial Statements (unaudited) </w:t>
      </w:r>
      <w:r>
        <w:rPr>
          <w:rFonts w:ascii="Times New Roman" w:cs="Times New Roman" w:eastAsia="Times New Roman" w:hAnsi="Times New Roman"/>
          <w:sz w:val="18"/>
          <w:szCs w:val="18"/>
          <w:color w:val="auto"/>
        </w:rPr>
        <w:t>included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10-Q for details of fair values for collateral requirements and restricted assets at June 30, 2025 particularly in these notes: </w:t>
      </w:r>
      <w:r>
        <w:rPr>
          <w:rFonts w:ascii="Times New Roman" w:cs="Times New Roman" w:eastAsia="Times New Roman" w:hAnsi="Times New Roman"/>
          <w:sz w:val="18"/>
          <w:szCs w:val="18"/>
          <w:i w:val="1"/>
          <w:iCs w:val="1"/>
          <w:color w:val="auto"/>
        </w:rPr>
        <w:t>Note 4.(e) 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Equivalents and Investments; Note 8. Reinsurance;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Note 10. Related Party Transactions.</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At June 30, 2025 and December 31, 2024, restricted cash and cash equivalents and fixed maturity investments used as collateral were $211.4 million and $0.0 million, respectively. This collateral represents 88.3% and 0.0% of the fair value of total fixed maturity investments, cash, restricted cash and cash equivalents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Investments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a result of the completion of the Combination on May 27, 2025, the Company has acquired significant investable assets and additional sources of</w:t>
      </w:r>
    </w:p>
    <w:p>
      <w:pPr>
        <w:spacing w:after="0" w:line="202" w:lineRule="auto"/>
        <w:rPr>
          <w:sz w:val="20"/>
          <w:szCs w:val="20"/>
          <w:color w:val="auto"/>
        </w:rPr>
      </w:pPr>
      <w:r>
        <w:rPr>
          <w:rFonts w:ascii="Times New Roman" w:cs="Times New Roman" w:eastAsia="Times New Roman" w:hAnsi="Times New Roman"/>
          <w:sz w:val="18"/>
          <w:szCs w:val="18"/>
          <w:color w:val="auto"/>
        </w:rPr>
        <w:t xml:space="preserve">investment income as discussed in </w:t>
      </w:r>
      <w:r>
        <w:rPr>
          <w:rFonts w:ascii="Times New Roman" w:cs="Times New Roman" w:eastAsia="Times New Roman" w:hAnsi="Times New Roman"/>
          <w:sz w:val="18"/>
          <w:szCs w:val="18"/>
          <w:i w:val="1"/>
          <w:iCs w:val="1"/>
          <w:color w:val="auto"/>
        </w:rPr>
        <w:t>Part I, Item 1 - Notes to Condensed Consolidated Financial Statements (unaudited) "Note 4. Investments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Business Combination" </w:t>
      </w:r>
      <w:r>
        <w:rPr>
          <w:rFonts w:ascii="Times New Roman" w:cs="Times New Roman" w:eastAsia="Times New Roman" w:hAnsi="Times New Roman"/>
          <w:sz w:val="18"/>
          <w:szCs w:val="18"/>
          <w:color w:val="auto"/>
        </w:rPr>
        <w:t>included in this Form 10-Q.</w:t>
      </w:r>
    </w:p>
    <w:p>
      <w:pPr>
        <w:spacing w:after="0" w:line="189" w:lineRule="exact"/>
        <w:rPr>
          <w:sz w:val="20"/>
          <w:szCs w:val="20"/>
          <w:color w:val="auto"/>
        </w:rPr>
      </w:pPr>
    </w:p>
    <w:p>
      <w:pPr>
        <w:jc w:val="both"/>
        <w:ind w:firstLine="241"/>
        <w:spacing w:after="0" w:line="230" w:lineRule="auto"/>
        <w:rPr>
          <w:sz w:val="20"/>
          <w:szCs w:val="20"/>
          <w:color w:val="auto"/>
        </w:rPr>
      </w:pPr>
      <w:r>
        <w:rPr>
          <w:rFonts w:ascii="Times New Roman" w:cs="Times New Roman" w:eastAsia="Times New Roman" w:hAnsi="Times New Roman"/>
          <w:sz w:val="18"/>
          <w:szCs w:val="18"/>
          <w:color w:val="auto"/>
        </w:rPr>
        <w:t>As a result, the substantial majority of our current investments are held by Maiden Reinsurance, whose amended investment policy was recently approved by the Vermont DFR, as noted. As of June 30, 2025, Maiden Reinsurance owned approximately 22.4% of our total outstanding common shares which is eliminated for accounting and financial reporting purposes on our condensed consolidated financial statements. The voting power of Maiden</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Reinsurance, with respect to its common shares, was previously capped at 9.5% pursuant to the Maiden's bye-laws; however Maiden's shareholders approved the proposal to remove the 9.5% voting limitation on all shareholders at its Special Meeting on April 29, 2025. Treasury shares include 2,237,534</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common shares owned by Maiden Reinsurance which are not treated as outstanding common shares on the Condensed Consolidated Balance Sheet at June 30, 2025. The market value of our common shares held by Maiden Reinsurance was $59.3 million at June 30, 2025.</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Accordingly, our fixed income investment portfolio is invested in liquid, investment-grade fixed maturity securities which are all designated as AFS at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June 30, 2025. Further, as Maiden's insurance liabilities continue to run-off and the required capital to operate its business for regulatory purposes decreased, Maiden expanded Maiden Reinsurance’s investment policy which has been approved by the Vermont DFR. Under this investment policy, Maiden expanded the range of asset classes it invested in to enhance the income and total returns its investment portfolio produces. We categorize these investments as</w:t>
      </w:r>
    </w:p>
    <w:p>
      <w:pPr>
        <w:spacing w:after="0" w:line="215" w:lineRule="auto"/>
        <w:rPr>
          <w:sz w:val="20"/>
          <w:szCs w:val="20"/>
          <w:color w:val="auto"/>
        </w:rPr>
      </w:pPr>
      <w:r>
        <w:rPr>
          <w:rFonts w:ascii="Times New Roman" w:cs="Times New Roman" w:eastAsia="Times New Roman" w:hAnsi="Times New Roman"/>
          <w:sz w:val="17"/>
          <w:szCs w:val="17"/>
          <w:color w:val="auto"/>
        </w:rPr>
        <w:t>alternative investments which include "</w:t>
      </w:r>
      <w:r>
        <w:rPr>
          <w:rFonts w:ascii="Times New Roman" w:cs="Times New Roman" w:eastAsia="Times New Roman" w:hAnsi="Times New Roman"/>
          <w:sz w:val="17"/>
          <w:szCs w:val="17"/>
          <w:i w:val="1"/>
          <w:iCs w:val="1"/>
          <w:color w:val="auto"/>
        </w:rPr>
        <w:t>Other Investments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"Equity Securities"</w:t>
      </w:r>
      <w:r>
        <w:rPr>
          <w:rFonts w:ascii="Times New Roman" w:cs="Times New Roman" w:eastAsia="Times New Roman" w:hAnsi="Times New Roman"/>
          <w:sz w:val="17"/>
          <w:szCs w:val="17"/>
          <w:color w:val="auto"/>
        </w:rPr>
        <w:t xml:space="preserve"> on our Condensed Consolidated Balance Sheets. As of June 30, 2025 and</w:t>
      </w:r>
    </w:p>
    <w:p>
      <w:pPr>
        <w:spacing w:after="0"/>
        <w:rPr>
          <w:sz w:val="20"/>
          <w:szCs w:val="20"/>
          <w:color w:val="auto"/>
        </w:rPr>
      </w:pPr>
      <w:r>
        <w:rPr>
          <w:rFonts w:ascii="Times New Roman" w:cs="Times New Roman" w:eastAsia="Times New Roman" w:hAnsi="Times New Roman"/>
          <w:sz w:val="18"/>
          <w:szCs w:val="18"/>
          <w:color w:val="auto"/>
        </w:rPr>
        <w:t>December 31, 2024, our cash and investments consisted of: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83"/>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right"/>
              <w:ind w:right="1133"/>
              <w:spacing w:after="0"/>
              <w:rPr>
                <w:sz w:val="20"/>
                <w:szCs w:val="20"/>
                <w:color w:val="auto"/>
              </w:rPr>
            </w:pPr>
            <w:r>
              <w:rPr>
                <w:rFonts w:ascii="Times New Roman" w:cs="Times New Roman" w:eastAsia="Times New Roman" w:hAnsi="Times New Roman"/>
                <w:sz w:val="14"/>
                <w:szCs w:val="14"/>
                <w:color w:val="auto"/>
              </w:rPr>
              <w:t>($ in thousands)</w:t>
            </w:r>
          </w:p>
        </w:tc>
      </w:tr>
      <w:tr>
        <w:trPr>
          <w:trHeight w:val="25"/>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8"/>
        </w:trPr>
        <w:tc>
          <w:tcPr>
            <w:tcW w:w="78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Fixed maturities, available-for-sale, at fair value</w:t>
            </w:r>
          </w:p>
        </w:tc>
        <w:tc>
          <w:tcPr>
            <w:tcW w:w="260" w:type="dxa"/>
            <w:vAlign w:val="bottom"/>
            <w:shd w:val="clear" w:color="auto" w:fill="CD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205,801</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60" w:type="dxa"/>
            <w:vAlign w:val="bottom"/>
            <w:shd w:val="clear" w:color="auto" w:fill="CDFFCC"/>
          </w:tcPr>
          <w:p>
            <w:pPr>
              <w:spacing w:after="0"/>
              <w:rPr>
                <w:sz w:val="19"/>
                <w:szCs w:val="19"/>
                <w:color w:val="auto"/>
              </w:rPr>
            </w:pPr>
          </w:p>
        </w:tc>
        <w:tc>
          <w:tcPr>
            <w:tcW w:w="13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33,173</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4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6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162,105</w:t>
            </w:r>
          </w:p>
        </w:tc>
        <w:tc>
          <w:tcPr>
            <w:tcW w:w="100" w:type="dxa"/>
            <w:vAlign w:val="bottom"/>
            <w:tcBorders>
              <w:bottom w:val="single" w:sz="8" w:color="CDFF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8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shd w:val="clear" w:color="auto" w:fill="CDFFCC"/>
          </w:tcPr>
          <w:p>
            <w:pPr>
              <w:spacing w:after="0"/>
              <w:rPr>
                <w:sz w:val="19"/>
                <w:szCs w:val="19"/>
                <w:color w:val="auto"/>
              </w:rPr>
            </w:pPr>
          </w:p>
        </w:tc>
        <w:tc>
          <w:tcPr>
            <w:tcW w:w="138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412,270</w:t>
            </w:r>
          </w:p>
        </w:tc>
        <w:tc>
          <w:tcPr>
            <w:tcW w:w="100" w:type="dxa"/>
            <w:vAlign w:val="bottom"/>
            <w:shd w:val="clear" w:color="auto" w:fill="CDFFCC"/>
          </w:tcPr>
          <w:p>
            <w:pPr>
              <w:spacing w:after="0"/>
              <w:rPr>
                <w:sz w:val="19"/>
                <w:szCs w:val="19"/>
                <w:color w:val="auto"/>
              </w:rPr>
            </w:pPr>
          </w:p>
        </w:tc>
        <w:tc>
          <w:tcPr>
            <w:tcW w:w="180" w:type="dxa"/>
            <w:vAlign w:val="bottom"/>
            <w:shd w:val="clear" w:color="auto" w:fill="CDFFCC"/>
          </w:tcPr>
          <w:p>
            <w:pPr>
              <w:spacing w:after="0"/>
              <w:rPr>
                <w:sz w:val="19"/>
                <w:szCs w:val="19"/>
                <w:color w:val="auto"/>
              </w:rPr>
            </w:pPr>
          </w:p>
        </w:tc>
        <w:tc>
          <w:tcPr>
            <w:tcW w:w="14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28"/>
        </w:trPr>
        <w:tc>
          <w:tcPr>
            <w:tcW w:w="78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60" w:type="dxa"/>
            <w:vAlign w:val="bottom"/>
            <w:tcBorders>
              <w:bottom w:val="single" w:sz="8" w:color="auto"/>
            </w:tcBorders>
            <w:shd w:val="clear" w:color="auto" w:fill="CDFFCC"/>
          </w:tcPr>
          <w:p>
            <w:pPr>
              <w:spacing w:after="0"/>
              <w:rPr>
                <w:sz w:val="19"/>
                <w:szCs w:val="19"/>
                <w:color w:val="auto"/>
              </w:rPr>
            </w:pPr>
          </w:p>
        </w:tc>
        <w:tc>
          <w:tcPr>
            <w:tcW w:w="13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0" w:type="dxa"/>
            <w:vAlign w:val="bottom"/>
            <w:shd w:val="clear" w:color="auto" w:fill="CDFFCC"/>
          </w:tcPr>
          <w:p>
            <w:pPr>
              <w:spacing w:after="0"/>
              <w:rPr>
                <w:sz w:val="19"/>
                <w:szCs w:val="19"/>
                <w:color w:val="auto"/>
              </w:rPr>
            </w:pPr>
          </w:p>
        </w:tc>
        <w:tc>
          <w:tcPr>
            <w:tcW w:w="180" w:type="dxa"/>
            <w:vAlign w:val="bottom"/>
            <w:tcBorders>
              <w:bottom w:val="single" w:sz="8" w:color="auto"/>
            </w:tcBorders>
            <w:shd w:val="clear" w:color="auto" w:fill="CDFFCC"/>
          </w:tcPr>
          <w:p>
            <w:pPr>
              <w:spacing w:after="0"/>
              <w:rPr>
                <w:sz w:val="19"/>
                <w:szCs w:val="19"/>
                <w:color w:val="auto"/>
              </w:rPr>
            </w:pPr>
          </w:p>
        </w:tc>
        <w:tc>
          <w:tcPr>
            <w:tcW w:w="14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and Cash and Cash Equivalents</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241"/>
        <w:spacing w:after="0" w:line="235" w:lineRule="auto"/>
        <w:rPr>
          <w:sz w:val="20"/>
          <w:szCs w:val="20"/>
          <w:color w:val="auto"/>
        </w:rPr>
      </w:pPr>
      <w:r>
        <w:rPr>
          <w:rFonts w:ascii="Times New Roman" w:cs="Times New Roman" w:eastAsia="Times New Roman" w:hAnsi="Times New Roman"/>
          <w:sz w:val="17"/>
          <w:szCs w:val="17"/>
          <w:color w:val="auto"/>
        </w:rPr>
        <w:t>In addition to the discussion on Cash and Cash Equivalents and Fixed Maturities that follows herein, please see the "</w:t>
      </w:r>
      <w:r>
        <w:rPr>
          <w:rFonts w:ascii="Times New Roman" w:cs="Times New Roman" w:eastAsia="Times New Roman" w:hAnsi="Times New Roman"/>
          <w:sz w:val="17"/>
          <w:szCs w:val="17"/>
          <w:i w:val="1"/>
          <w:iCs w:val="1"/>
          <w:color w:val="auto"/>
        </w:rPr>
        <w:t>Notes to Condensed Consolidated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Statements (unaudited) Note 4. Investments</w:t>
      </w:r>
      <w:r>
        <w:rPr>
          <w:rFonts w:ascii="Times New Roman" w:cs="Times New Roman" w:eastAsia="Times New Roman" w:hAnsi="Times New Roman"/>
          <w:sz w:val="17"/>
          <w:szCs w:val="17"/>
          <w:color w:val="auto"/>
        </w:rPr>
        <w:t>" included under Part I Item 1 "</w:t>
      </w:r>
      <w:r>
        <w:rPr>
          <w:rFonts w:ascii="Times New Roman" w:cs="Times New Roman" w:eastAsia="Times New Roman" w:hAnsi="Times New Roman"/>
          <w:sz w:val="17"/>
          <w:szCs w:val="17"/>
          <w:i w:val="1"/>
          <w:iCs w:val="1"/>
          <w:color w:val="auto"/>
        </w:rPr>
        <w:t xml:space="preserve">Financial Information" </w:t>
      </w:r>
      <w:r>
        <w:rPr>
          <w:rFonts w:ascii="Times New Roman" w:cs="Times New Roman" w:eastAsia="Times New Roman" w:hAnsi="Times New Roman"/>
          <w:sz w:val="17"/>
          <w:szCs w:val="17"/>
          <w:color w:val="auto"/>
        </w:rPr>
        <w:t>of this Form 10-Q for further discussion on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AFS fixed income securities.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net purchases of other investments for the six months ended June 30, 2025 were due to securities transactions executed after the completion of the Combination. Other than purchases due to pre-existing commitments for private equity funds, we will not be making new commitments to alternative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the foreseeable future.</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Under Maiden Reinsurance's then applicable investment policy, alternative investments could include, but are not limited to, privately held investments, private equities, private credit lending funds, fixed-income funds, hedge funds, equity funds, real estate (including joint ventures and limited partnerships)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and other non-fixed-income investments. For further details on our alternative investments, in addition to the discussion of the investments herein, please see "</w:t>
      </w:r>
      <w:r>
        <w:rPr>
          <w:rFonts w:ascii="Times New Roman" w:cs="Times New Roman" w:eastAsia="Times New Roman" w:hAnsi="Times New Roman"/>
          <w:sz w:val="18"/>
          <w:szCs w:val="18"/>
          <w:i w:val="1"/>
          <w:iCs w:val="1"/>
          <w:color w:val="auto"/>
        </w:rPr>
        <w:t>Notes to Condensed Consolidated Financial Statements (unaudited) Note 4(b). Other Investments, Equity Securities and Equity Method Investments</w:t>
      </w:r>
      <w:r>
        <w:rPr>
          <w:rFonts w:ascii="Times New Roman" w:cs="Times New Roman" w:eastAsia="Times New Roman" w:hAnsi="Times New Roman"/>
          <w:sz w:val="18"/>
          <w:szCs w:val="18"/>
          <w:color w:val="auto"/>
        </w:rPr>
        <w:t xml:space="preserve"> included under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of this Form 10-Q.</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Our investment performance is subject to a variety of risks, including risks related to general economic conditions, market volatility, interest rate fluctuations, foreign exchange risk, liquidity risk and credit and default risk. Interest rates are highly sensitive to many factors, including governmental monetary policies, domestic and international economic and political conditions and other factors beyond our control. An increase in interest rates could</w:t>
      </w:r>
    </w:p>
    <w:p>
      <w:pPr>
        <w:spacing w:after="0" w:line="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result in significant losses, realized or unrealized, in the value of our investment portfolio. A portion of our portfolio consists of alternative investments that subject us to restrictions on redemption, which may limit our ability to withdraw funds for some period of time after the initial investment. The values of, and returns on, such investments may also be more volatile.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believe the Maiden alternative investment portfolio assumed in the Combination provides diversification against our fixed-income investments and</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an opportunity for improved risk-adjusted return. However, we believe this portfolio is not suitable for our plans to grow our Program Services segment and in addition to the changes in our investment policy as described above, we are actively looking to dispose of these assets to further improve our liquidity position and strengthen our ability to grow.</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Further, the returns of these investments may be more volatile and we may experience significant unrealized gains or losses in any particular quarter or year. While we believe the returns produced by these investments will exceed our cost of capital, in particular our cost of debt capital, it is too soon to determine if the actual returns will achieve this objective and it may be an extended period of time before that determination can be made.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7" w:name="page68"/>
    <w:bookmarkEnd w:id="67"/>
    <w:p>
      <w:pPr>
        <w:ind w:firstLine="241"/>
        <w:spacing w:after="0" w:line="221" w:lineRule="auto"/>
        <w:rPr>
          <w:sz w:val="20"/>
          <w:szCs w:val="20"/>
          <w:color w:val="auto"/>
        </w:rPr>
      </w:pPr>
      <w:r>
        <w:rPr>
          <w:rFonts w:ascii="Times New Roman" w:cs="Times New Roman" w:eastAsia="Times New Roman" w:hAnsi="Times New Roman"/>
          <w:sz w:val="18"/>
          <w:szCs w:val="18"/>
          <w:color w:val="auto"/>
        </w:rPr>
        <w:t>We may utilize and pay fees to various companies to provide investment advisory and/or management services related to these investments. These fees, which would be predominantly based upon the amount of assets under management, would be included in net investment income. In addition,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evaluating, analyzing and monitoring these investments may require additional expenditures than traditional marketable securities.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&amp; Cash Equivalents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June 30, 2025, we consider the levels of cash and cash equivalents held to be within our targeted ranges. During periods when interest rates</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experience greater volatility, we have periodically maintained more cash and cash equivalents to better assess current market conditions and opportunities within our defined risk appetite, and may do so in future periods.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Investments</w:t>
      </w:r>
    </w:p>
    <w:p>
      <w:pPr>
        <w:spacing w:after="0" w:line="103"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The average yield and average duration of our fixed maturities, by asset class, and our cash and cash equivalents (restricted and unrestricted) are as follows at June 30, 2025 and December 31,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Original or</w:t>
            </w: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29"/>
              <w:spacing w:after="0" w:line="201" w:lineRule="exact"/>
              <w:rPr>
                <w:sz w:val="20"/>
                <w:szCs w:val="20"/>
                <w:color w:val="auto"/>
              </w:rPr>
            </w:pPr>
            <w:r>
              <w:rPr>
                <w:rFonts w:ascii="Times New Roman" w:cs="Times New Roman" w:eastAsia="Times New Roman" w:hAnsi="Times New Roman"/>
                <w:sz w:val="14"/>
                <w:szCs w:val="14"/>
                <w:b w:val="1"/>
                <w:bCs w:val="1"/>
                <w:color w:val="auto"/>
              </w:rPr>
              <w:t>yield</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6"/>
              </w:rPr>
              <w:t>duration</w:t>
            </w:r>
            <w:r>
              <w:rPr>
                <w:rFonts w:ascii="Times New Roman" w:cs="Times New Roman" w:eastAsia="Times New Roman" w:hAnsi="Times New Roman"/>
                <w:sz w:val="18"/>
                <w:szCs w:val="18"/>
                <w:b w:val="1"/>
                <w:bCs w:val="1"/>
                <w:color w:val="auto"/>
                <w:w w:val="96"/>
                <w:vertAlign w:val="superscript"/>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jc w:val="right"/>
              <w:ind w:right="301"/>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U.S. treasury bonds</w:t>
            </w:r>
          </w:p>
        </w:tc>
        <w:tc>
          <w:tcPr>
            <w:tcW w:w="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300" w:type="dxa"/>
            <w:vAlign w:val="bottom"/>
            <w:gridSpan w:val="2"/>
            <w:shd w:val="clear" w:color="auto" w:fill="CCFFCC"/>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43,911</w:t>
            </w:r>
          </w:p>
        </w:tc>
        <w:tc>
          <w:tcPr>
            <w:tcW w:w="900" w:type="dxa"/>
            <w:vAlign w:val="bottom"/>
            <w:gridSpan w:val="4"/>
            <w:shd w:val="clear" w:color="auto" w:fill="CCFFCC"/>
          </w:tcPr>
          <w:p>
            <w:pPr>
              <w:jc w:val="right"/>
              <w:ind w:right="9"/>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U.S. agency bonds – mortgage-backed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90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Non-U.S. government bonds</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54,005</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(31)</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900" w:type="dxa"/>
            <w:vAlign w:val="bottom"/>
            <w:gridSpan w:val="4"/>
            <w:shd w:val="clear" w:color="auto" w:fill="CCFFCC"/>
          </w:tcPr>
          <w:p>
            <w:pPr>
              <w:jc w:val="right"/>
              <w:ind w:right="9"/>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900" w:type="dxa"/>
            <w:vAlign w:val="bottom"/>
            <w:gridSpan w:val="4"/>
          </w:tcPr>
          <w:p>
            <w:pPr>
              <w:jc w:val="right"/>
              <w:ind w:right="9"/>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900" w:type="dxa"/>
            <w:vAlign w:val="bottom"/>
            <w:gridSpan w:val="4"/>
            <w:shd w:val="clear" w:color="auto" w:fill="CCFFCC"/>
          </w:tcPr>
          <w:p>
            <w:pPr>
              <w:jc w:val="right"/>
              <w:ind w:right="9"/>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tcBorders>
              <w:bottom w:val="single" w:sz="8" w:color="CCFFCC"/>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fixed maturities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205,323</w:t>
            </w:r>
          </w:p>
        </w:tc>
        <w:tc>
          <w:tcPr>
            <w:tcW w:w="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FFCC"/>
            </w:tcBorders>
          </w:tcPr>
          <w:p>
            <w:pPr>
              <w:spacing w:after="0"/>
              <w:rPr>
                <w:sz w:val="19"/>
                <w:szCs w:val="19"/>
                <w:color w:val="auto"/>
              </w:rPr>
            </w:pPr>
          </w:p>
        </w:tc>
        <w:tc>
          <w:tcPr>
            <w:tcW w:w="40" w:type="dxa"/>
            <w:vAlign w:val="bottom"/>
            <w:tcBorders>
              <w:bottom w:val="single" w:sz="8" w:color="CCFFC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Borders>
              <w:bottom w:val="single" w:sz="8" w:color="CCFFCC"/>
            </w:tcBorders>
          </w:tcPr>
          <w:p>
            <w:pPr>
              <w:spacing w:after="0"/>
              <w:rPr>
                <w:sz w:val="19"/>
                <w:szCs w:val="19"/>
                <w:color w:val="auto"/>
              </w:rPr>
            </w:pP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205,801</w:t>
            </w:r>
          </w:p>
        </w:tc>
        <w:tc>
          <w:tcPr>
            <w:tcW w:w="1080" w:type="dxa"/>
            <w:vAlign w:val="bottom"/>
            <w:tcBorders>
              <w:bottom w:val="single" w:sz="8" w:color="CCFFCC"/>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20" w:type="dxa"/>
            <w:vAlign w:val="bottom"/>
            <w:tcBorders>
              <w:bottom w:val="single" w:sz="8" w:color="CCFFCC"/>
            </w:tcBorders>
          </w:tcPr>
          <w:p>
            <w:pPr>
              <w:spacing w:after="0"/>
              <w:rPr>
                <w:sz w:val="19"/>
                <w:szCs w:val="19"/>
                <w:color w:val="auto"/>
              </w:rPr>
            </w:pPr>
          </w:p>
        </w:tc>
        <w:tc>
          <w:tcPr>
            <w:tcW w:w="80" w:type="dxa"/>
            <w:vAlign w:val="bottom"/>
            <w:tcBorders>
              <w:bottom w:val="single" w:sz="8" w:color="CCFFCC"/>
            </w:tcBorders>
          </w:tcPr>
          <w:p>
            <w:pPr>
              <w:spacing w:after="0"/>
              <w:rPr>
                <w:sz w:val="19"/>
                <w:szCs w:val="19"/>
                <w:color w:val="auto"/>
              </w:rPr>
            </w:pPr>
          </w:p>
        </w:tc>
        <w:tc>
          <w:tcPr>
            <w:tcW w:w="920" w:type="dxa"/>
            <w:vAlign w:val="bottom"/>
            <w:tcBorders>
              <w:bottom w:val="single" w:sz="8" w:color="CCFFC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33,668</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40" w:type="dxa"/>
            <w:vAlign w:val="bottom"/>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spacing w:after="0"/>
              <w:rPr>
                <w:sz w:val="19"/>
                <w:szCs w:val="19"/>
                <w:color w:val="auto"/>
              </w:rPr>
            </w:pPr>
          </w:p>
        </w:tc>
        <w:tc>
          <w:tcPr>
            <w:tcW w:w="360" w:type="dxa"/>
            <w:vAlign w:val="bottom"/>
            <w:tcBorders>
              <w:bottom w:val="single" w:sz="8" w:color="auto"/>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c>
          <w:tcPr>
            <w:tcW w:w="80" w:type="dxa"/>
            <w:vAlign w:val="bottom"/>
            <w:tcBorders>
              <w:bottom w:val="single" w:sz="8" w:color="auto"/>
            </w:tcBorders>
            <w:shd w:val="clear" w:color="auto" w:fill="CCFFCC"/>
          </w:tcPr>
          <w:p>
            <w:pPr>
              <w:spacing w:after="0"/>
              <w:rPr>
                <w:sz w:val="19"/>
                <w:szCs w:val="19"/>
                <w:color w:val="auto"/>
              </w:rPr>
            </w:pPr>
          </w:p>
        </w:tc>
        <w:tc>
          <w:tcPr>
            <w:tcW w:w="140" w:type="dxa"/>
            <w:vAlign w:val="bottom"/>
            <w:tcBorders>
              <w:bottom w:val="single" w:sz="8" w:color="auto"/>
            </w:tcBorders>
            <w:shd w:val="clear" w:color="auto" w:fill="CCFFCC"/>
          </w:tcPr>
          <w:p>
            <w:pPr>
              <w:spacing w:after="0"/>
              <w:rPr>
                <w:sz w:val="19"/>
                <w:szCs w:val="19"/>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33,668</w:t>
            </w:r>
          </w:p>
        </w:tc>
        <w:tc>
          <w:tcPr>
            <w:tcW w:w="900" w:type="dxa"/>
            <w:vAlign w:val="bottom"/>
            <w:gridSpan w:val="4"/>
            <w:shd w:val="clear" w:color="auto" w:fill="CCFFCC"/>
          </w:tcPr>
          <w:p>
            <w:pPr>
              <w:jc w:val="right"/>
              <w:ind w:right="9"/>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gridSpan w:val="2"/>
          </w:tcPr>
          <w:p>
            <w:pPr>
              <w:jc w:val="right"/>
              <w:ind w:right="60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239,469</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Original or</w:t>
            </w:r>
          </w:p>
        </w:tc>
        <w:tc>
          <w:tcPr>
            <w:tcW w:w="100" w:type="dxa"/>
            <w:vAlign w:val="bottom"/>
          </w:tcPr>
          <w:p>
            <w:pPr>
              <w:spacing w:after="0"/>
              <w:rPr>
                <w:sz w:val="24"/>
                <w:szCs w:val="24"/>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6"/>
                <w:szCs w:val="16"/>
                <w:color w:val="auto"/>
              </w:rPr>
            </w:pPr>
          </w:p>
        </w:tc>
        <w:tc>
          <w:tcPr>
            <w:tcW w:w="11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yield</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r>
              <w:rPr>
                <w:rFonts w:ascii="Times New Roman" w:cs="Times New Roman" w:eastAsia="Times New Roman" w:hAnsi="Times New Roman"/>
                <w:sz w:val="9"/>
                <w:szCs w:val="9"/>
                <w:b w:val="1"/>
                <w:bCs w:val="1"/>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5"/>
          </w:tcPr>
          <w:p>
            <w:pPr>
              <w:jc w:val="right"/>
              <w:ind w:right="221"/>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FFCC"/>
          </w:tcPr>
          <w:p>
            <w:pPr>
              <w:spacing w:after="0"/>
              <w:rPr>
                <w:sz w:val="20"/>
                <w:szCs w:val="20"/>
                <w:color w:val="auto"/>
              </w:rPr>
            </w:pPr>
          </w:p>
        </w:tc>
        <w:tc>
          <w:tcPr>
            <w:tcW w:w="4220" w:type="dxa"/>
            <w:vAlign w:val="bottom"/>
            <w:gridSpan w:val="3"/>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0" w:type="dxa"/>
            <w:vAlign w:val="bottom"/>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4,286</w:t>
            </w:r>
          </w:p>
        </w:tc>
        <w:tc>
          <w:tcPr>
            <w:tcW w:w="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00" w:type="dxa"/>
            <w:vAlign w:val="bottom"/>
            <w:tcBorders>
              <w:bottom w:val="single" w:sz="8" w:color="auto"/>
            </w:tcBorders>
            <w:shd w:val="clear" w:color="auto" w:fill="CCFFCC"/>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FFC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60" w:type="dxa"/>
            <w:vAlign w:val="bottom"/>
            <w:tcBorders>
              <w:bottom w:val="single" w:sz="8" w:color="auto"/>
            </w:tcBorders>
            <w:shd w:val="clear" w:color="auto" w:fill="CCFFCC"/>
          </w:tcPr>
          <w:p>
            <w:pPr>
              <w:spacing w:after="0"/>
              <w:rPr>
                <w:sz w:val="20"/>
                <w:szCs w:val="20"/>
                <w:color w:val="auto"/>
              </w:rPr>
            </w:pPr>
          </w:p>
        </w:tc>
        <w:tc>
          <w:tcPr>
            <w:tcW w:w="1040" w:type="dxa"/>
            <w:vAlign w:val="bottom"/>
            <w:gridSpan w:val="5"/>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FFCC"/>
          </w:tcPr>
          <w:p>
            <w:pPr>
              <w:spacing w:after="0"/>
              <w:rPr>
                <w:sz w:val="20"/>
                <w:szCs w:val="20"/>
                <w:color w:val="auto"/>
              </w:rPr>
            </w:pP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1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3"/>
        <w:spacing w:after="0" w:line="231" w:lineRule="auto"/>
        <w:tabs>
          <w:tab w:leader="none" w:pos="313"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yield is calculated by dividing annualized investment income for each sub-component of fixed maturity securities and cash and cash equivalents (including amortization of premium or discount) by amortized cost.</w:t>
      </w:r>
    </w:p>
    <w:p>
      <w:pPr>
        <w:spacing w:after="0" w:line="1" w:lineRule="exact"/>
        <w:rPr>
          <w:rFonts w:ascii="Times New Roman" w:cs="Times New Roman" w:eastAsia="Times New Roman" w:hAnsi="Times New Roman"/>
          <w:sz w:val="14"/>
          <w:szCs w:val="14"/>
          <w:color w:val="auto"/>
        </w:rPr>
      </w:pPr>
    </w:p>
    <w:p>
      <w:pPr>
        <w:ind w:left="300" w:hanging="293"/>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duration in years.</w:t>
      </w:r>
    </w:p>
    <w:p>
      <w:pPr>
        <w:spacing w:after="0" w:line="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six months ended June 30, 2025, the yield on the 10-year U.S. Treasury bond decreased by 34 basis points to 4.24%. The 10-year U.S.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Treasury rate is the key risk-free determinant in the fair value of many of the fixed maturity securities in our portfolio. The decrease in risk-free rates during the six months ended June 30, 2025 generated net unrealized gains of $0.5 million on our fixed maturity investment portfolio which increased our book value per common share by $0.06 during the period. Current outlooks for global monetary policy have become more uncertain in recent months, as 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combination of potential significant changes in U.S. fiscal and trade policy and the attendant uncertainty on the impacts of these policies on both U.S. and global economic outlooks and inflation appear to be causing central banks to either adopt a neutral stance or apply further tightening should data dictate such actions, particularly inflation and labor market data. Our investment portfolios, in particular our fixed maturity portfolio, may be adversely impacted by</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unfavorable market conditions caused by these measures, which could cause continued volatility in our results of operations and negatively impact our financial condition.</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Interest rate risk is the price sensitivity of a security to changes in interest rates. Credit spread risk is the price sensitivity of a security to changes in credit</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spreads. As noted, the fair value of our fixed maturity investments will fluctuate with changes in interest rates and credit spreads. We attempt to maintain adequate liquidity in our fixed maturity investments portfolio with a strategy designed to emphasize the preservation of our invested assets and provide sufficient liquidity for the prompt payment of claims and contract liabilities. Because we collateralize a significant portion of our insurance liabilities,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unanticipated or large increases in interest rates could require us to utilize significant amounts of unrestricted cash and fixed maturity securities to provide additional collateral, which could impact our asset and capital management strategy described herein.</w:t>
      </w:r>
    </w:p>
    <w:p>
      <w:pPr>
        <w:spacing w:after="0" w:line="49"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We also monitor the duration and structure of our investment portfolio as discussed below. As of June 30, 2025, the aggregate hypothetical change in fair value from an immediate 100 basis points increase in interest rates, assuming credit spreads remain constant, in our fixed maturity investments portfolio</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would decrease the fair value of that portfolio by $3.7 million. Actual shifts in interest rates may not change by the same magnitude across the maturity spectrum or on an individual security and, as a result, the impact on the fair value of our fixed maturity securities may be materially different from the resulting change in value described above.</w:t>
      </w:r>
    </w:p>
    <w:p>
      <w:pPr>
        <w:spacing w:after="0" w:line="62"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To limit our exposure to unexpected interest rate increases which would reduce the value of our fixed income securities and reduce our shareholders' equity, we attempt to maintain the duration of our fixed maturity investment portfolio combined with our cash and cash equivalents, both restricted and unrestricted, within a reasonable range of the duration of our loss reserves.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8" w:name="page69"/>
    <w:bookmarkEnd w:id="68"/>
    <w:p>
      <w:pPr>
        <w:ind w:left="240"/>
        <w:spacing w:after="0"/>
        <w:rPr>
          <w:sz w:val="20"/>
          <w:szCs w:val="20"/>
          <w:color w:val="auto"/>
        </w:rPr>
      </w:pPr>
      <w:r>
        <w:rPr>
          <w:rFonts w:ascii="Times New Roman" w:cs="Times New Roman" w:eastAsia="Times New Roman" w:hAnsi="Times New Roman"/>
          <w:sz w:val="18"/>
          <w:szCs w:val="18"/>
          <w:color w:val="auto"/>
        </w:rPr>
        <w:t>At June 30, 2025, these respective durations in years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9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5"/>
        </w:trPr>
        <w:tc>
          <w:tcPr>
            <w:tcW w:w="94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1"/>
        </w:trPr>
        <w:tc>
          <w:tcPr>
            <w:tcW w:w="94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Fixed maturities and cash and cash equivalents</w:t>
            </w:r>
          </w:p>
        </w:tc>
        <w:tc>
          <w:tcPr>
            <w:tcW w:w="100" w:type="dxa"/>
            <w:vAlign w:val="bottom"/>
            <w:shd w:val="clear" w:color="auto" w:fill="CCFFCC"/>
          </w:tcPr>
          <w:p>
            <w:pPr>
              <w:spacing w:after="0"/>
              <w:rPr>
                <w:sz w:val="19"/>
                <w:szCs w:val="19"/>
                <w:color w:val="auto"/>
              </w:rPr>
            </w:pPr>
          </w:p>
        </w:tc>
        <w:tc>
          <w:tcPr>
            <w:tcW w:w="16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8"/>
        </w:trPr>
        <w:tc>
          <w:tcPr>
            <w:tcW w:w="9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Reserve for loss and LAE - gross of LPT/ADC Agreement reserves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8"/>
        </w:trPr>
        <w:tc>
          <w:tcPr>
            <w:tcW w:w="954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Reserve for loss and LAE - net of LPT/ADC Agreement reserves</w:t>
            </w:r>
          </w:p>
        </w:tc>
        <w:tc>
          <w:tcPr>
            <w:tcW w:w="16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16"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During the six months ended June 30, 2025, the weighted average duration of our fixed maturity investment portfolio was 0.9 year while the duration for gross reserve for loss and LAE was 5.7 years. The differential in duration between these assets and liabilities may fluctuate over time and in the case of fixed</w:t>
      </w:r>
    </w:p>
    <w:p>
      <w:pPr>
        <w:spacing w:after="0" w:line="202" w:lineRule="auto"/>
        <w:rPr>
          <w:sz w:val="20"/>
          <w:szCs w:val="20"/>
          <w:color w:val="auto"/>
        </w:rPr>
      </w:pPr>
      <w:r>
        <w:rPr>
          <w:rFonts w:ascii="Times New Roman" w:cs="Times New Roman" w:eastAsia="Times New Roman" w:hAnsi="Times New Roman"/>
          <w:sz w:val="18"/>
          <w:szCs w:val="18"/>
          <w:color w:val="auto"/>
        </w:rPr>
        <w:t>maturities, historically has been affected by factors such as market conditions, changes in asset mix and prepayment speeds in the case of both our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mortgage-backed securities ("Agency MBS") and commercial mortgage-backed securities held.</w:t>
      </w:r>
    </w:p>
    <w:p>
      <w:pPr>
        <w:spacing w:after="0" w:line="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June 30, 2025, the duration of our loss reserves net of the LPT/ADC Agreement was higher than the duration of our fixed maturity investment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portfolio. To limit our exposure to unexpected interest rate increases that could reduce the value of our fixed maturity securities and reduce our shareholders' equity, the Company holds floating rate securities whose fair values are less sensitive to interest rates. At June 30, 2025, 49.0% of our fixed income investments were comprised of floating rate securities which are detailed in the table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Pr>
          <w:p>
            <w:pPr>
              <w:spacing w:after="0"/>
              <w:rPr>
                <w:sz w:val="2"/>
                <w:szCs w:val="2"/>
                <w:color w:val="auto"/>
              </w:rPr>
            </w:pPr>
          </w:p>
        </w:tc>
        <w:tc>
          <w:tcPr>
            <w:tcW w:w="170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040" w:type="dxa"/>
            <w:vAlign w:val="bottom"/>
            <w:vMerge w:val="continue"/>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14"/>
        </w:trPr>
        <w:tc>
          <w:tcPr>
            <w:tcW w:w="5040" w:type="dxa"/>
            <w:vAlign w:val="bottom"/>
            <w:tcBorders>
              <w:top w:val="single" w:sz="8" w:color="CDFFCC"/>
            </w:tcBorders>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rate securities</w:t>
            </w:r>
          </w:p>
        </w:tc>
        <w:tc>
          <w:tcPr>
            <w:tcW w:w="260" w:type="dxa"/>
            <w:vAlign w:val="bottom"/>
            <w:tcBorders>
              <w:top w:val="single" w:sz="8" w:color="auto"/>
            </w:tcBorders>
            <w:shd w:val="clear" w:color="auto" w:fill="CDFFCC"/>
          </w:tcPr>
          <w:p>
            <w:pPr>
              <w:spacing w:after="0"/>
              <w:rPr>
                <w:sz w:val="18"/>
                <w:szCs w:val="18"/>
                <w:color w:val="auto"/>
              </w:rPr>
            </w:pPr>
          </w:p>
        </w:tc>
        <w:tc>
          <w:tcPr>
            <w:tcW w:w="1160" w:type="dxa"/>
            <w:vAlign w:val="bottom"/>
            <w:tcBorders>
              <w:top w:val="single" w:sz="8" w:color="auto"/>
            </w:tcBorders>
            <w:shd w:val="clear" w:color="auto" w:fill="CDFFCC"/>
          </w:tcPr>
          <w:p>
            <w:pPr>
              <w:spacing w:after="0"/>
              <w:rPr>
                <w:sz w:val="18"/>
                <w:szCs w:val="18"/>
                <w:color w:val="auto"/>
              </w:rPr>
            </w:pPr>
          </w:p>
        </w:tc>
        <w:tc>
          <w:tcPr>
            <w:tcW w:w="100" w:type="dxa"/>
            <w:vAlign w:val="bottom"/>
            <w:tcBorders>
              <w:top w:val="single" w:sz="8" w:color="CDFFCC"/>
            </w:tcBorders>
            <w:shd w:val="clear" w:color="auto" w:fill="CDFFCC"/>
          </w:tcPr>
          <w:p>
            <w:pPr>
              <w:spacing w:after="0"/>
              <w:rPr>
                <w:sz w:val="18"/>
                <w:szCs w:val="18"/>
                <w:color w:val="auto"/>
              </w:rPr>
            </w:pPr>
          </w:p>
        </w:tc>
        <w:tc>
          <w:tcPr>
            <w:tcW w:w="440" w:type="dxa"/>
            <w:vAlign w:val="bottom"/>
            <w:tcBorders>
              <w:top w:val="single" w:sz="8" w:color="auto"/>
            </w:tcBorders>
            <w:shd w:val="clear" w:color="auto" w:fill="CDFFCC"/>
          </w:tcPr>
          <w:p>
            <w:pPr>
              <w:spacing w:after="0"/>
              <w:rPr>
                <w:sz w:val="18"/>
                <w:szCs w:val="18"/>
                <w:color w:val="auto"/>
              </w:rPr>
            </w:pPr>
          </w:p>
        </w:tc>
        <w:tc>
          <w:tcPr>
            <w:tcW w:w="1100" w:type="dxa"/>
            <w:vAlign w:val="bottom"/>
            <w:tcBorders>
              <w:top w:val="single" w:sz="8" w:color="auto"/>
            </w:tcBorders>
            <w:shd w:val="clear" w:color="auto" w:fill="CDFFCC"/>
          </w:tcPr>
          <w:p>
            <w:pPr>
              <w:spacing w:after="0"/>
              <w:rPr>
                <w:sz w:val="18"/>
                <w:szCs w:val="18"/>
                <w:color w:val="auto"/>
              </w:rPr>
            </w:pPr>
          </w:p>
        </w:tc>
        <w:tc>
          <w:tcPr>
            <w:tcW w:w="120" w:type="dxa"/>
            <w:vAlign w:val="bottom"/>
            <w:tcBorders>
              <w:top w:val="single" w:sz="8" w:color="CDFFCC"/>
            </w:tcBorders>
            <w:shd w:val="clear" w:color="auto" w:fill="CDFFCC"/>
          </w:tcPr>
          <w:p>
            <w:pPr>
              <w:spacing w:after="0"/>
              <w:rPr>
                <w:sz w:val="18"/>
                <w:szCs w:val="18"/>
                <w:color w:val="auto"/>
              </w:rPr>
            </w:pPr>
          </w:p>
        </w:tc>
        <w:tc>
          <w:tcPr>
            <w:tcW w:w="240" w:type="dxa"/>
            <w:vAlign w:val="bottom"/>
            <w:tcBorders>
              <w:top w:val="single" w:sz="8" w:color="auto"/>
            </w:tcBorders>
            <w:shd w:val="clear" w:color="auto" w:fill="CDFFCC"/>
          </w:tcPr>
          <w:p>
            <w:pPr>
              <w:spacing w:after="0"/>
              <w:rPr>
                <w:sz w:val="18"/>
                <w:szCs w:val="18"/>
                <w:color w:val="auto"/>
              </w:rPr>
            </w:pPr>
          </w:p>
        </w:tc>
        <w:tc>
          <w:tcPr>
            <w:tcW w:w="1140" w:type="dxa"/>
            <w:vAlign w:val="bottom"/>
            <w:tcBorders>
              <w:top w:val="single" w:sz="8" w:color="auto"/>
            </w:tcBorders>
            <w:shd w:val="clear" w:color="auto" w:fill="CDFFCC"/>
          </w:tcPr>
          <w:p>
            <w:pPr>
              <w:spacing w:after="0"/>
              <w:rPr>
                <w:sz w:val="18"/>
                <w:szCs w:val="18"/>
                <w:color w:val="auto"/>
              </w:rPr>
            </w:pPr>
          </w:p>
        </w:tc>
        <w:tc>
          <w:tcPr>
            <w:tcW w:w="120" w:type="dxa"/>
            <w:vAlign w:val="bottom"/>
            <w:tcBorders>
              <w:top w:val="single" w:sz="8" w:color="CDFFCC"/>
            </w:tcBorders>
            <w:shd w:val="clear" w:color="auto" w:fill="CDFFCC"/>
          </w:tcPr>
          <w:p>
            <w:pPr>
              <w:spacing w:after="0"/>
              <w:rPr>
                <w:sz w:val="18"/>
                <w:szCs w:val="18"/>
                <w:color w:val="auto"/>
              </w:rPr>
            </w:pPr>
          </w:p>
        </w:tc>
        <w:tc>
          <w:tcPr>
            <w:tcW w:w="1520" w:type="dxa"/>
            <w:vAlign w:val="bottom"/>
            <w:tcBorders>
              <w:top w:val="single" w:sz="8" w:color="auto"/>
            </w:tcBorders>
            <w:shd w:val="clear" w:color="auto" w:fill="CD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8"/>
                <w:szCs w:val="18"/>
                <w:color w:val="auto"/>
              </w:rPr>
              <w:t>Collateralized loan obligations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100" w:type="dxa"/>
            <w:vAlign w:val="bottom"/>
            <w:tcBorders>
              <w:bottom w:val="single" w:sz="8" w:color="CD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tcBorders>
              <w:bottom w:val="single" w:sz="8" w:color="CDFFCC"/>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DFFCC"/>
            </w:tcBorders>
          </w:tcPr>
          <w:p>
            <w:pPr>
              <w:spacing w:after="0"/>
              <w:rPr>
                <w:sz w:val="19"/>
                <w:szCs w:val="19"/>
                <w:color w:val="auto"/>
              </w:rPr>
            </w:pP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504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Total floating rate AFS fixed maturities at fair value</w:t>
            </w:r>
          </w:p>
        </w:tc>
        <w:tc>
          <w:tcPr>
            <w:tcW w:w="260" w:type="dxa"/>
            <w:vAlign w:val="bottom"/>
            <w:shd w:val="clear" w:color="auto" w:fill="CDFFCC"/>
          </w:tcPr>
          <w:p>
            <w:pPr>
              <w:spacing w:after="0"/>
              <w:rPr>
                <w:sz w:val="19"/>
                <w:szCs w:val="19"/>
                <w:color w:val="auto"/>
              </w:rPr>
            </w:pPr>
          </w:p>
        </w:tc>
        <w:tc>
          <w:tcPr>
            <w:tcW w:w="1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100" w:type="dxa"/>
            <w:vAlign w:val="bottom"/>
            <w:shd w:val="clear" w:color="auto" w:fill="CDFFCC"/>
          </w:tcPr>
          <w:p>
            <w:pPr>
              <w:spacing w:after="0"/>
              <w:rPr>
                <w:sz w:val="19"/>
                <w:szCs w:val="19"/>
                <w:color w:val="auto"/>
              </w:rPr>
            </w:pPr>
          </w:p>
        </w:tc>
        <w:tc>
          <w:tcPr>
            <w:tcW w:w="440" w:type="dxa"/>
            <w:vAlign w:val="bottom"/>
            <w:shd w:val="clear" w:color="auto" w:fill="CDFFCC"/>
          </w:tcPr>
          <w:p>
            <w:pPr>
              <w:spacing w:after="0"/>
              <w:rPr>
                <w:sz w:val="19"/>
                <w:szCs w:val="19"/>
                <w:color w:val="auto"/>
              </w:rPr>
            </w:pPr>
          </w:p>
        </w:tc>
        <w:tc>
          <w:tcPr>
            <w:tcW w:w="11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20" w:type="dxa"/>
            <w:vAlign w:val="bottom"/>
            <w:shd w:val="clear" w:color="auto" w:fill="CDFFCC"/>
          </w:tcPr>
          <w:p>
            <w:pPr>
              <w:spacing w:after="0"/>
              <w:rPr>
                <w:sz w:val="19"/>
                <w:szCs w:val="19"/>
                <w:color w:val="auto"/>
              </w:rPr>
            </w:pPr>
          </w:p>
        </w:tc>
        <w:tc>
          <w:tcPr>
            <w:tcW w:w="240" w:type="dxa"/>
            <w:vAlign w:val="bottom"/>
            <w:shd w:val="clear" w:color="auto" w:fill="CDFFCC"/>
          </w:tcPr>
          <w:p>
            <w:pPr>
              <w:spacing w:after="0"/>
              <w:rPr>
                <w:sz w:val="19"/>
                <w:szCs w:val="19"/>
                <w:color w:val="auto"/>
              </w:rPr>
            </w:pPr>
          </w:p>
        </w:tc>
        <w:tc>
          <w:tcPr>
            <w:tcW w:w="114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DFFCC"/>
          </w:tcPr>
          <w:p>
            <w:pPr>
              <w:spacing w:after="0"/>
              <w:rPr>
                <w:sz w:val="19"/>
                <w:szCs w:val="19"/>
                <w:color w:val="auto"/>
              </w:rPr>
            </w:pPr>
          </w:p>
        </w:tc>
        <w:tc>
          <w:tcPr>
            <w:tcW w:w="1520" w:type="dxa"/>
            <w:vAlign w:val="bottom"/>
            <w:shd w:val="clear" w:color="auto" w:fill="CDFFC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DFFCC"/>
            </w:tcBorders>
          </w:tcPr>
          <w:p>
            <w:pPr>
              <w:ind w:left="20"/>
              <w:spacing w:after="0"/>
              <w:rPr>
                <w:sz w:val="20"/>
                <w:szCs w:val="20"/>
                <w:color w:val="auto"/>
              </w:rPr>
            </w:pPr>
            <w:r>
              <w:rPr>
                <w:rFonts w:ascii="Times New Roman" w:cs="Times New Roman" w:eastAsia="Times New Roman" w:hAnsi="Times New Roman"/>
                <w:sz w:val="18"/>
                <w:szCs w:val="18"/>
                <w:color w:val="auto"/>
              </w:rPr>
              <w:t>Loan to related party</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107,490</w:t>
            </w:r>
          </w:p>
        </w:tc>
        <w:tc>
          <w:tcPr>
            <w:tcW w:w="100" w:type="dxa"/>
            <w:vAlign w:val="bottom"/>
            <w:tcBorders>
              <w:bottom w:val="single" w:sz="8" w:color="CD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20" w:type="dxa"/>
            <w:vAlign w:val="bottom"/>
            <w:tcBorders>
              <w:bottom w:val="single" w:sz="8" w:color="CDFFC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DFFCC"/>
            </w:tcBorders>
          </w:tcPr>
          <w:p>
            <w:pPr>
              <w:spacing w:after="0"/>
              <w:rPr>
                <w:sz w:val="19"/>
                <w:szCs w:val="19"/>
                <w:color w:val="auto"/>
              </w:rPr>
            </w:pPr>
          </w:p>
        </w:tc>
        <w:tc>
          <w:tcPr>
            <w:tcW w:w="15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6"/>
        </w:trPr>
        <w:tc>
          <w:tcPr>
            <w:tcW w:w="5040" w:type="dxa"/>
            <w:vAlign w:val="bottom"/>
            <w:tcBorders>
              <w:bottom w:val="single" w:sz="8" w:color="CDFFCC"/>
            </w:tcBorders>
            <w:shd w:val="clear" w:color="auto" w:fill="CDFFCC"/>
          </w:tcPr>
          <w:p>
            <w:pPr>
              <w:ind w:left="200"/>
              <w:spacing w:after="0"/>
              <w:rPr>
                <w:sz w:val="20"/>
                <w:szCs w:val="20"/>
                <w:color w:val="auto"/>
              </w:rPr>
            </w:pPr>
            <w:r>
              <w:rPr>
                <w:rFonts w:ascii="Times New Roman" w:cs="Times New Roman" w:eastAsia="Times New Roman" w:hAnsi="Times New Roman"/>
                <w:sz w:val="18"/>
                <w:szCs w:val="18"/>
                <w:b w:val="1"/>
                <w:bCs w:val="1"/>
                <w:color w:val="auto"/>
              </w:rPr>
              <w:t>Total floating rate securities</w:t>
            </w:r>
          </w:p>
        </w:tc>
        <w:tc>
          <w:tcPr>
            <w:tcW w:w="260" w:type="dxa"/>
            <w:vAlign w:val="bottom"/>
            <w:tcBorders>
              <w:bottom w:val="single" w:sz="8" w:color="auto"/>
            </w:tcBorders>
            <w:shd w:val="clear" w:color="auto" w:fill="CD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176,176</w:t>
            </w:r>
          </w:p>
        </w:tc>
        <w:tc>
          <w:tcPr>
            <w:tcW w:w="100" w:type="dxa"/>
            <w:vAlign w:val="bottom"/>
            <w:tcBorders>
              <w:bottom w:val="single" w:sz="8" w:color="CDFFCC"/>
            </w:tcBorders>
            <w:shd w:val="clear" w:color="auto" w:fill="CDFFCC"/>
          </w:tcPr>
          <w:p>
            <w:pPr>
              <w:spacing w:after="0"/>
              <w:rPr>
                <w:sz w:val="20"/>
                <w:szCs w:val="20"/>
                <w:color w:val="auto"/>
              </w:rPr>
            </w:pPr>
          </w:p>
        </w:tc>
        <w:tc>
          <w:tcPr>
            <w:tcW w:w="440" w:type="dxa"/>
            <w:vAlign w:val="bottom"/>
            <w:tcBorders>
              <w:bottom w:val="single" w:sz="8" w:color="auto"/>
            </w:tcBorders>
            <w:shd w:val="clear" w:color="auto" w:fill="CDFFCC"/>
          </w:tcPr>
          <w:p>
            <w:pPr>
              <w:spacing w:after="0"/>
              <w:rPr>
                <w:sz w:val="20"/>
                <w:szCs w:val="20"/>
                <w:color w:val="auto"/>
              </w:rPr>
            </w:pPr>
          </w:p>
        </w:tc>
        <w:tc>
          <w:tcPr>
            <w:tcW w:w="11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20" w:type="dxa"/>
            <w:vAlign w:val="bottom"/>
            <w:tcBorders>
              <w:bottom w:val="single" w:sz="8" w:color="CDFFCC"/>
            </w:tcBorders>
            <w:shd w:val="clear" w:color="auto" w:fill="CDFFCC"/>
          </w:tcPr>
          <w:p>
            <w:pPr>
              <w:spacing w:after="0"/>
              <w:rPr>
                <w:sz w:val="20"/>
                <w:szCs w:val="20"/>
                <w:color w:val="auto"/>
              </w:rPr>
            </w:pPr>
          </w:p>
        </w:tc>
        <w:tc>
          <w:tcPr>
            <w:tcW w:w="240" w:type="dxa"/>
            <w:vAlign w:val="bottom"/>
            <w:tcBorders>
              <w:bottom w:val="single" w:sz="8" w:color="auto"/>
            </w:tcBorders>
            <w:shd w:val="clear" w:color="auto" w:fill="CD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DFFCC"/>
            </w:tcBorders>
            <w:shd w:val="clear" w:color="auto" w:fill="CDFFCC"/>
          </w:tcPr>
          <w:p>
            <w:pPr>
              <w:spacing w:after="0"/>
              <w:rPr>
                <w:sz w:val="20"/>
                <w:szCs w:val="20"/>
                <w:color w:val="auto"/>
              </w:rPr>
            </w:pPr>
          </w:p>
        </w:tc>
        <w:tc>
          <w:tcPr>
            <w:tcW w:w="1520" w:type="dxa"/>
            <w:vAlign w:val="bottom"/>
            <w:tcBorders>
              <w:bottom w:val="single" w:sz="8" w:color="auto"/>
            </w:tcBorders>
            <w:shd w:val="clear" w:color="auto" w:fill="CDFFC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5040" w:type="dxa"/>
            <w:vAlign w:val="bottom"/>
            <w:tcBorders>
              <w:top w:val="single" w:sz="8" w:color="CDFFCC"/>
            </w:tcBorders>
          </w:tcPr>
          <w:p>
            <w:pPr>
              <w:spacing w:after="0" w:line="20" w:lineRule="exact"/>
              <w:rPr>
                <w:sz w:val="1"/>
                <w:szCs w:val="1"/>
                <w:color w:val="auto"/>
              </w:rPr>
            </w:pPr>
          </w:p>
        </w:tc>
        <w:tc>
          <w:tcPr>
            <w:tcW w:w="260" w:type="dxa"/>
            <w:vAlign w:val="bottom"/>
            <w:tcBorders>
              <w:top w:val="single" w:sz="8" w:color="CDFFCC"/>
              <w:bottom w:val="single" w:sz="8" w:color="auto"/>
            </w:tcBorders>
          </w:tcPr>
          <w:p>
            <w:pPr>
              <w:spacing w:after="0" w:line="20" w:lineRule="exact"/>
              <w:rPr>
                <w:sz w:val="1"/>
                <w:szCs w:val="1"/>
                <w:color w:val="auto"/>
              </w:rPr>
            </w:pPr>
          </w:p>
        </w:tc>
        <w:tc>
          <w:tcPr>
            <w:tcW w:w="11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440" w:type="dxa"/>
            <w:vAlign w:val="bottom"/>
            <w:tcBorders>
              <w:top w:val="single" w:sz="8" w:color="CDFFCC"/>
              <w:bottom w:val="single" w:sz="8" w:color="auto"/>
            </w:tcBorders>
          </w:tcPr>
          <w:p>
            <w:pPr>
              <w:spacing w:after="0" w:line="20" w:lineRule="exact"/>
              <w:rPr>
                <w:sz w:val="1"/>
                <w:szCs w:val="1"/>
                <w:color w:val="auto"/>
              </w:rPr>
            </w:pPr>
          </w:p>
        </w:tc>
        <w:tc>
          <w:tcPr>
            <w:tcW w:w="110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520" w:type="dxa"/>
            <w:vAlign w:val="bottom"/>
            <w:tcBorders>
              <w:top w:val="single" w:sz="8" w:color="CD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040" w:type="dxa"/>
            <w:vAlign w:val="bottom"/>
            <w:tcBorders>
              <w:bottom w:val="single" w:sz="8" w:color="CDFFCC"/>
            </w:tcBorders>
            <w:shd w:val="clear" w:color="auto" w:fill="CDFFCC"/>
          </w:tcPr>
          <w:p>
            <w:pPr>
              <w:ind w:left="6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Total fixed income investments at fair value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shd w:val="clear" w:color="auto" w:fill="CD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359,044</w:t>
            </w:r>
          </w:p>
        </w:tc>
        <w:tc>
          <w:tcPr>
            <w:tcW w:w="100" w:type="dxa"/>
            <w:vAlign w:val="bottom"/>
            <w:tcBorders>
              <w:bottom w:val="single" w:sz="8" w:color="CDFFCC"/>
            </w:tcBorders>
            <w:shd w:val="clear" w:color="auto" w:fill="CDFFCC"/>
          </w:tcPr>
          <w:p>
            <w:pPr>
              <w:spacing w:after="0"/>
              <w:rPr>
                <w:sz w:val="21"/>
                <w:szCs w:val="21"/>
                <w:color w:val="auto"/>
              </w:rPr>
            </w:pPr>
          </w:p>
        </w:tc>
        <w:tc>
          <w:tcPr>
            <w:tcW w:w="440" w:type="dxa"/>
            <w:vAlign w:val="bottom"/>
            <w:tcBorders>
              <w:bottom w:val="single" w:sz="8" w:color="CDFFCC"/>
            </w:tcBorders>
            <w:shd w:val="clear" w:color="auto" w:fill="CDFFCC"/>
          </w:tcPr>
          <w:p>
            <w:pPr>
              <w:spacing w:after="0"/>
              <w:rPr>
                <w:sz w:val="21"/>
                <w:szCs w:val="21"/>
                <w:color w:val="auto"/>
              </w:rPr>
            </w:pPr>
          </w:p>
        </w:tc>
        <w:tc>
          <w:tcPr>
            <w:tcW w:w="1100" w:type="dxa"/>
            <w:vAlign w:val="bottom"/>
            <w:tcBorders>
              <w:bottom w:val="single" w:sz="8" w:color="CDFFCC"/>
            </w:tcBorders>
            <w:shd w:val="clear" w:color="auto" w:fill="CDFFCC"/>
          </w:tcPr>
          <w:p>
            <w:pPr>
              <w:spacing w:after="0"/>
              <w:rPr>
                <w:sz w:val="21"/>
                <w:szCs w:val="21"/>
                <w:color w:val="auto"/>
              </w:rPr>
            </w:pPr>
          </w:p>
        </w:tc>
        <w:tc>
          <w:tcPr>
            <w:tcW w:w="120" w:type="dxa"/>
            <w:vAlign w:val="bottom"/>
            <w:tcBorders>
              <w:bottom w:val="single" w:sz="8" w:color="CDFFCC"/>
            </w:tcBorders>
            <w:shd w:val="clear" w:color="auto" w:fill="CDFFCC"/>
          </w:tcPr>
          <w:p>
            <w:pPr>
              <w:spacing w:after="0"/>
              <w:rPr>
                <w:sz w:val="21"/>
                <w:szCs w:val="21"/>
                <w:color w:val="auto"/>
              </w:rPr>
            </w:pPr>
          </w:p>
        </w:tc>
        <w:tc>
          <w:tcPr>
            <w:tcW w:w="240" w:type="dxa"/>
            <w:vAlign w:val="bottom"/>
            <w:tcBorders>
              <w:bottom w:val="single" w:sz="8" w:color="auto"/>
            </w:tcBorders>
            <w:shd w:val="clear" w:color="auto" w:fill="CD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20" w:type="dxa"/>
            <w:vAlign w:val="bottom"/>
            <w:tcBorders>
              <w:bottom w:val="single" w:sz="8" w:color="CDFFCC"/>
            </w:tcBorders>
            <w:shd w:val="clear" w:color="auto" w:fill="CDFFCC"/>
          </w:tcPr>
          <w:p>
            <w:pPr>
              <w:spacing w:after="0"/>
              <w:rPr>
                <w:sz w:val="21"/>
                <w:szCs w:val="21"/>
                <w:color w:val="auto"/>
              </w:rPr>
            </w:pPr>
          </w:p>
        </w:tc>
        <w:tc>
          <w:tcPr>
            <w:tcW w:w="1520" w:type="dxa"/>
            <w:vAlign w:val="bottom"/>
            <w:tcBorders>
              <w:bottom w:val="single" w:sz="8" w:color="CDFFCC"/>
            </w:tcBorders>
            <w:shd w:val="clear" w:color="auto" w:fill="CD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DFFCC"/>
            </w:tcBorders>
          </w:tcPr>
          <w:p>
            <w:pPr>
              <w:spacing w:after="0" w:line="20" w:lineRule="exact"/>
              <w:rPr>
                <w:sz w:val="1"/>
                <w:szCs w:val="1"/>
                <w:color w:val="auto"/>
              </w:rPr>
            </w:pPr>
          </w:p>
        </w:tc>
        <w:tc>
          <w:tcPr>
            <w:tcW w:w="260" w:type="dxa"/>
            <w:vAlign w:val="bottom"/>
            <w:tcBorders>
              <w:top w:val="single" w:sz="8" w:color="CDFFCC"/>
              <w:bottom w:val="single" w:sz="8" w:color="auto"/>
            </w:tcBorders>
          </w:tcPr>
          <w:p>
            <w:pPr>
              <w:spacing w:after="0" w:line="20" w:lineRule="exact"/>
              <w:rPr>
                <w:sz w:val="1"/>
                <w:szCs w:val="1"/>
                <w:color w:val="auto"/>
              </w:rPr>
            </w:pPr>
          </w:p>
        </w:tc>
        <w:tc>
          <w:tcPr>
            <w:tcW w:w="11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440" w:type="dxa"/>
            <w:vAlign w:val="bottom"/>
            <w:tcBorders>
              <w:top w:val="single" w:sz="8" w:color="CDFFCC"/>
            </w:tcBorders>
          </w:tcPr>
          <w:p>
            <w:pPr>
              <w:spacing w:after="0" w:line="20" w:lineRule="exact"/>
              <w:rPr>
                <w:sz w:val="1"/>
                <w:szCs w:val="1"/>
                <w:color w:val="auto"/>
              </w:rPr>
            </w:pPr>
          </w:p>
        </w:tc>
        <w:tc>
          <w:tcPr>
            <w:tcW w:w="110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240" w:type="dxa"/>
            <w:vAlign w:val="bottom"/>
            <w:tcBorders>
              <w:top w:val="single" w:sz="8" w:color="CDFFCC"/>
              <w:bottom w:val="single" w:sz="8" w:color="auto"/>
            </w:tcBorders>
          </w:tcPr>
          <w:p>
            <w:pPr>
              <w:spacing w:after="0" w:line="20" w:lineRule="exact"/>
              <w:rPr>
                <w:sz w:val="1"/>
                <w:szCs w:val="1"/>
                <w:color w:val="auto"/>
              </w:rPr>
            </w:pPr>
          </w:p>
        </w:tc>
        <w:tc>
          <w:tcPr>
            <w:tcW w:w="1140" w:type="dxa"/>
            <w:vAlign w:val="bottom"/>
            <w:tcBorders>
              <w:top w:val="single" w:sz="8" w:color="CDFFCC"/>
              <w:bottom w:val="single" w:sz="8" w:color="auto"/>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520" w:type="dxa"/>
            <w:vAlign w:val="bottom"/>
            <w:tcBorders>
              <w:top w:val="single" w:sz="8" w:color="CD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(1) Total fixed income investments at fair value include AFS fixed maturities, cash and restricted cash, funds withheld receivable, and net loan receivable from related party.</w:t>
      </w:r>
    </w:p>
    <w:p>
      <w:pPr>
        <w:spacing w:after="0" w:line="232" w:lineRule="exact"/>
        <w:rPr>
          <w:sz w:val="20"/>
          <w:szCs w:val="20"/>
          <w:color w:val="auto"/>
        </w:rPr>
      </w:pPr>
    </w:p>
    <w:p>
      <w:pPr>
        <w:jc w:val="both"/>
        <w:ind w:firstLine="201"/>
        <w:spacing w:after="0" w:line="221" w:lineRule="auto"/>
        <w:rPr>
          <w:sz w:val="20"/>
          <w:szCs w:val="20"/>
          <w:color w:val="auto"/>
        </w:rPr>
      </w:pPr>
      <w:r>
        <w:rPr>
          <w:rFonts w:ascii="Times New Roman" w:cs="Times New Roman" w:eastAsia="Times New Roman" w:hAnsi="Times New Roman"/>
          <w:sz w:val="18"/>
          <w:szCs w:val="18"/>
          <w:color w:val="auto"/>
        </w:rPr>
        <w:t>At June 30, 2025, 100.0% of the Company’s U.S. agency bond holdings are mortgage-backed. Total U.S. agency MBS comprise 10.9% of our fixed maturity investment portfolio at June 30, 2025. Given their relative size to our total investments, if faster prepayment patterns were to occur over an</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extended period of time, this could potentially limit the growth in our investment income in certain circumstances or reduce the total amount of investment income we earn. The fair value of our U.S. Agency MBS holdings at June 30, 2025 were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228"/>
        </w:trPr>
        <w:tc>
          <w:tcPr>
            <w:tcW w:w="8100" w:type="dxa"/>
            <w:vAlign w:val="bottom"/>
            <w:tcBorders>
              <w:top w:val="single" w:sz="8" w:color="CDFFCC"/>
            </w:tcBorders>
            <w:shd w:val="clear" w:color="auto" w:fill="CDFFCC"/>
          </w:tcPr>
          <w:p>
            <w:pPr>
              <w:ind w:left="100"/>
              <w:spacing w:after="0"/>
              <w:rPr>
                <w:sz w:val="20"/>
                <w:szCs w:val="20"/>
                <w:color w:val="auto"/>
              </w:rPr>
            </w:pPr>
            <w:r>
              <w:rPr>
                <w:rFonts w:ascii="Times New Roman" w:cs="Times New Roman" w:eastAsia="Times New Roman" w:hAnsi="Times New Roman"/>
                <w:sz w:val="18"/>
                <w:szCs w:val="18"/>
                <w:color w:val="auto"/>
              </w:rPr>
              <w:t>FNMA – fixed rate</w:t>
            </w:r>
          </w:p>
        </w:tc>
        <w:tc>
          <w:tcPr>
            <w:tcW w:w="240" w:type="dxa"/>
            <w:vAlign w:val="bottom"/>
            <w:tcBorders>
              <w:top w:val="single" w:sz="8" w:color="auto"/>
            </w:tcBorders>
            <w:shd w:val="clear" w:color="auto" w:fill="CD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100" w:type="dxa"/>
            <w:vAlign w:val="bottom"/>
            <w:tcBorders>
              <w:top w:val="single" w:sz="8" w:color="CDFFCC"/>
            </w:tcBorders>
            <w:shd w:val="clear" w:color="auto" w:fill="CDFFCC"/>
          </w:tcPr>
          <w:p>
            <w:pPr>
              <w:spacing w:after="0"/>
              <w:rPr>
                <w:sz w:val="19"/>
                <w:szCs w:val="19"/>
                <w:color w:val="auto"/>
              </w:rPr>
            </w:pPr>
          </w:p>
        </w:tc>
        <w:tc>
          <w:tcPr>
            <w:tcW w:w="440" w:type="dxa"/>
            <w:vAlign w:val="bottom"/>
            <w:tcBorders>
              <w:top w:val="single" w:sz="8" w:color="auto"/>
            </w:tcBorders>
            <w:shd w:val="clear" w:color="auto" w:fill="CDFFCC"/>
          </w:tcPr>
          <w:p>
            <w:pPr>
              <w:spacing w:after="0"/>
              <w:rPr>
                <w:sz w:val="19"/>
                <w:szCs w:val="19"/>
                <w:color w:val="auto"/>
              </w:rPr>
            </w:pPr>
          </w:p>
        </w:tc>
        <w:tc>
          <w:tcPr>
            <w:tcW w:w="1120" w:type="dxa"/>
            <w:vAlign w:val="bottom"/>
            <w:tcBorders>
              <w:top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0" w:type="dxa"/>
            <w:vAlign w:val="bottom"/>
          </w:tcPr>
          <w:p>
            <w:pPr>
              <w:spacing w:after="0"/>
              <w:rPr>
                <w:sz w:val="1"/>
                <w:szCs w:val="1"/>
                <w:color w:val="auto"/>
              </w:rPr>
            </w:pPr>
          </w:p>
        </w:tc>
      </w:tr>
      <w:tr>
        <w:trPr>
          <w:trHeight w:val="228"/>
        </w:trPr>
        <w:tc>
          <w:tcPr>
            <w:tcW w:w="8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FHLMC – fixed rate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28"/>
        </w:trPr>
        <w:tc>
          <w:tcPr>
            <w:tcW w:w="8100" w:type="dxa"/>
            <w:vAlign w:val="bottom"/>
            <w:shd w:val="clear" w:color="auto" w:fill="CDFFCC"/>
          </w:tcPr>
          <w:p>
            <w:pPr>
              <w:ind w:left="100"/>
              <w:spacing w:after="0"/>
              <w:rPr>
                <w:sz w:val="20"/>
                <w:szCs w:val="20"/>
                <w:color w:val="auto"/>
              </w:rPr>
            </w:pPr>
            <w:r>
              <w:rPr>
                <w:rFonts w:ascii="Times New Roman" w:cs="Times New Roman" w:eastAsia="Times New Roman" w:hAnsi="Times New Roman"/>
                <w:sz w:val="18"/>
                <w:szCs w:val="18"/>
                <w:color w:val="auto"/>
              </w:rPr>
              <w:t>GNMA – variable rate</w:t>
            </w:r>
          </w:p>
        </w:tc>
        <w:tc>
          <w:tcPr>
            <w:tcW w:w="240" w:type="dxa"/>
            <w:vAlign w:val="bottom"/>
            <w:tcBorders>
              <w:bottom w:val="single" w:sz="8" w:color="auto"/>
            </w:tcBorders>
            <w:shd w:val="clear" w:color="auto" w:fill="CDFFCC"/>
          </w:tcPr>
          <w:p>
            <w:pPr>
              <w:spacing w:after="0"/>
              <w:rPr>
                <w:sz w:val="19"/>
                <w:szCs w:val="19"/>
                <w:color w:val="auto"/>
              </w:rPr>
            </w:pPr>
          </w:p>
        </w:tc>
        <w:tc>
          <w:tcPr>
            <w:tcW w:w="118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DFFCC"/>
          </w:tcPr>
          <w:p>
            <w:pPr>
              <w:spacing w:after="0"/>
              <w:rPr>
                <w:sz w:val="19"/>
                <w:szCs w:val="19"/>
                <w:color w:val="auto"/>
              </w:rPr>
            </w:pPr>
          </w:p>
        </w:tc>
        <w:tc>
          <w:tcPr>
            <w:tcW w:w="440" w:type="dxa"/>
            <w:vAlign w:val="bottom"/>
            <w:tcBorders>
              <w:bottom w:val="single" w:sz="8" w:color="auto"/>
            </w:tcBorders>
            <w:shd w:val="clear" w:color="auto" w:fill="CDFFCC"/>
          </w:tcPr>
          <w:p>
            <w:pPr>
              <w:spacing w:after="0"/>
              <w:rPr>
                <w:sz w:val="19"/>
                <w:szCs w:val="19"/>
                <w:color w:val="auto"/>
              </w:rPr>
            </w:pPr>
          </w:p>
        </w:tc>
        <w:tc>
          <w:tcPr>
            <w:tcW w:w="112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21"/>
        </w:trPr>
        <w:tc>
          <w:tcPr>
            <w:tcW w:w="81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Total U.S. Agency MBS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22,467</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 xml:space="preserve">At June 30, 2025, 100.0% of our fixed maturity investments consisted of investment grade securities. We define a security as being below investment grade if it has an S&amp;P credit rating of BB+ or equivalent, or less. Please see </w:t>
      </w:r>
      <w:r>
        <w:rPr>
          <w:rFonts w:ascii="Times New Roman" w:cs="Times New Roman" w:eastAsia="Times New Roman" w:hAnsi="Times New Roman"/>
          <w:sz w:val="18"/>
          <w:szCs w:val="18"/>
          <w:i w:val="1"/>
          <w:iCs w:val="1"/>
          <w:color w:val="auto"/>
        </w:rPr>
        <w:t>Part I, Item 1 - Notes to Condensed Consolidated Financial Statements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i w:val="1"/>
          <w:iCs w:val="1"/>
          <w:color w:val="auto"/>
        </w:rPr>
        <w:t xml:space="preserve">(unaudited) Note 4. Investments </w:t>
      </w:r>
      <w:r>
        <w:rPr>
          <w:rFonts w:ascii="Times New Roman" w:cs="Times New Roman" w:eastAsia="Times New Roman" w:hAnsi="Times New Roman"/>
          <w:sz w:val="18"/>
          <w:szCs w:val="18"/>
          <w:color w:val="auto"/>
        </w:rPr>
        <w:t>for additional information on the credit rating of our fixed income investment portfolio. Credit ratings below are assigned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S&amp;P, or an equivalent rating agency. The security holdings by sector and financial strength rating of our corporate bond holdings at June 30, 2025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Ratings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20" w:type="dxa"/>
            <w:vAlign w:val="bottom"/>
            <w:gridSpan w:val="2"/>
            <w:vMerge w:val="restart"/>
          </w:tcPr>
          <w:p>
            <w:pPr>
              <w:spacing w:after="0"/>
              <w:rPr>
                <w:sz w:val="11"/>
                <w:szCs w:val="11"/>
                <w:color w:val="auto"/>
              </w:rPr>
            </w:pPr>
          </w:p>
        </w:tc>
        <w:tc>
          <w:tcPr>
            <w:tcW w:w="12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 A, A-</w:t>
            </w:r>
          </w:p>
        </w:tc>
        <w:tc>
          <w:tcPr>
            <w:tcW w:w="100" w:type="dxa"/>
            <w:vAlign w:val="bottom"/>
            <w:vMerge w:val="restart"/>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BBB+, BBB, BBB-</w:t>
            </w:r>
          </w:p>
        </w:tc>
        <w:tc>
          <w:tcPr>
            <w:tcW w:w="220" w:type="dxa"/>
            <w:vAlign w:val="bottom"/>
            <w:gridSpan w:val="2"/>
            <w:vMerge w:val="restart"/>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1"/>
                <w:szCs w:val="11"/>
                <w:color w:val="auto"/>
              </w:rPr>
            </w:pPr>
          </w:p>
        </w:tc>
        <w:tc>
          <w:tcPr>
            <w:tcW w:w="1720" w:type="dxa"/>
            <w:vAlign w:val="bottom"/>
          </w:tcPr>
          <w:p>
            <w:pPr>
              <w:jc w:val="right"/>
              <w:ind w:right="97"/>
              <w:spacing w:after="0" w:line="128" w:lineRule="exact"/>
              <w:rPr>
                <w:sz w:val="20"/>
                <w:szCs w:val="20"/>
                <w:color w:val="auto"/>
              </w:rPr>
            </w:pPr>
            <w:r>
              <w:rPr>
                <w:rFonts w:ascii="Times New Roman" w:cs="Times New Roman" w:eastAsia="Times New Roman" w:hAnsi="Times New Roman"/>
                <w:sz w:val="14"/>
                <w:szCs w:val="14"/>
                <w:b w:val="1"/>
                <w:bCs w:val="1"/>
                <w:color w:val="auto"/>
              </w:rPr>
              <w:t>% of Corporate bonds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FFCC"/>
            </w:tcBorders>
            <w:gridSpan w:val="2"/>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FFCC"/>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FFCC"/>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FFCC"/>
            </w:tcBorders>
            <w:vMerge w:val="continue"/>
          </w:tcPr>
          <w:p>
            <w:pPr>
              <w:spacing w:after="0"/>
              <w:rPr>
                <w:sz w:val="16"/>
                <w:szCs w:val="16"/>
                <w:color w:val="auto"/>
              </w:rPr>
            </w:pPr>
          </w:p>
        </w:tc>
        <w:tc>
          <w:tcPr>
            <w:tcW w:w="17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9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bonds</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720" w:type="dxa"/>
            <w:vAlign w:val="bottom"/>
            <w:shd w:val="clear" w:color="auto" w:fill="CCFFC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Basic Materials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180" w:type="dxa"/>
            <w:vAlign w:val="bottom"/>
            <w:gridSpan w:val="3"/>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FFCC"/>
          </w:tcPr>
          <w:p>
            <w:pPr>
              <w:spacing w:after="0"/>
              <w:rPr>
                <w:sz w:val="19"/>
                <w:szCs w:val="19"/>
                <w:color w:val="auto"/>
              </w:rPr>
            </w:pPr>
          </w:p>
        </w:tc>
        <w:tc>
          <w:tcPr>
            <w:tcW w:w="1460" w:type="dxa"/>
            <w:vAlign w:val="bottom"/>
            <w:gridSpan w:val="3"/>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FFCC"/>
          </w:tcPr>
          <w:p>
            <w:pPr>
              <w:spacing w:after="0"/>
              <w:rPr>
                <w:sz w:val="19"/>
                <w:szCs w:val="19"/>
                <w:color w:val="auto"/>
              </w:rPr>
            </w:pPr>
          </w:p>
        </w:tc>
        <w:tc>
          <w:tcPr>
            <w:tcW w:w="1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180" w:type="dxa"/>
            <w:vAlign w:val="bottom"/>
            <w:tcBorders>
              <w:bottom w:val="single" w:sz="8" w:color="CCFFCC"/>
            </w:tcBorders>
            <w:gridSpan w:val="3"/>
          </w:tcPr>
          <w:p>
            <w:pPr>
              <w:ind w:left="60"/>
              <w:spacing w:after="0"/>
              <w:rPr>
                <w:sz w:val="20"/>
                <w:szCs w:val="20"/>
                <w:color w:val="auto"/>
              </w:rPr>
            </w:pPr>
            <w:r>
              <w:rPr>
                <w:rFonts w:ascii="Times New Roman" w:cs="Times New Roman" w:eastAsia="Times New Roman" w:hAnsi="Times New Roman"/>
                <w:sz w:val="18"/>
                <w:szCs w:val="18"/>
                <w:color w:val="auto"/>
              </w:rPr>
              <w:t>Financial Institutions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00" w:type="dxa"/>
            <w:vAlign w:val="bottom"/>
            <w:tcBorders>
              <w:bottom w:val="single" w:sz="8" w:color="CCFFC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FFCC"/>
            </w:tcBorders>
          </w:tcPr>
          <w:p>
            <w:pPr>
              <w:spacing w:after="0"/>
              <w:rPr>
                <w:sz w:val="19"/>
                <w:szCs w:val="19"/>
                <w:color w:val="auto"/>
              </w:rPr>
            </w:pPr>
          </w:p>
        </w:tc>
        <w:tc>
          <w:tcPr>
            <w:tcW w:w="12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00" w:type="dxa"/>
            <w:vAlign w:val="bottom"/>
            <w:tcBorders>
              <w:bottom w:val="single" w:sz="8" w:color="CCFFC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0"/>
                <w:szCs w:val="20"/>
                <w:color w:val="auto"/>
              </w:rPr>
            </w:pPr>
          </w:p>
        </w:tc>
        <w:tc>
          <w:tcPr>
            <w:tcW w:w="5180" w:type="dxa"/>
            <w:vAlign w:val="bottom"/>
            <w:tcBorders>
              <w:bottom w:val="single" w:sz="8" w:color="CCFFCC"/>
            </w:tcBorders>
            <w:gridSpan w:val="3"/>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5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tcBorders>
              <w:bottom w:val="single" w:sz="8" w:color="CCFFCC"/>
            </w:tcBorders>
            <w:shd w:val="clear" w:color="auto" w:fill="CCFFCC"/>
          </w:tcPr>
          <w:p>
            <w:pPr>
              <w:spacing w:after="0"/>
              <w:rPr>
                <w:sz w:val="20"/>
                <w:szCs w:val="20"/>
                <w:color w:val="auto"/>
              </w:rPr>
            </w:pPr>
          </w:p>
        </w:tc>
        <w:tc>
          <w:tcPr>
            <w:tcW w:w="1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720" w:type="dxa"/>
            <w:vAlign w:val="bottom"/>
            <w:tcBorders>
              <w:top w:val="single" w:sz="8" w:color="CCFFCC"/>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9"/>
        </w:trPr>
        <w:tc>
          <w:tcPr>
            <w:tcW w:w="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9" w:name="page70"/>
    <w:bookmarkEnd w:id="69"/>
    <w:p>
      <w:pPr>
        <w:jc w:val="center"/>
        <w:ind w:right="-299"/>
        <w:spacing w:after="0"/>
        <w:rPr>
          <w:sz w:val="20"/>
          <w:szCs w:val="20"/>
          <w:color w:val="auto"/>
        </w:rPr>
      </w:pPr>
      <w:r>
        <w:rPr>
          <w:rFonts w:ascii="Times New Roman" w:cs="Times New Roman" w:eastAsia="Times New Roman" w:hAnsi="Times New Roman"/>
          <w:sz w:val="14"/>
          <w:szCs w:val="14"/>
          <w:b w:val="1"/>
          <w:bCs w:val="1"/>
          <w:color w:val="FFFFFF"/>
        </w:rPr>
        <w:t>Ratings</w:t>
      </w:r>
      <w:r>
        <w:rPr>
          <w:rFonts w:ascii="Times New Roman" w:cs="Times New Roman" w:eastAsia="Times New Roman" w:hAnsi="Times New Roman"/>
          <w:sz w:val="18"/>
          <w:szCs w:val="18"/>
          <w:b w:val="1"/>
          <w:bCs w:val="1"/>
          <w:color w:val="FFFFFF"/>
          <w:vertAlign w:val="superscript"/>
        </w:rPr>
        <w:t>(1)</w:t>
      </w:r>
    </w:p>
    <w:p>
      <w:pPr>
        <w:spacing w:after="0" w:line="124"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The table below includes the Company’s four largest corporate holdings at fair value and as a percentage of all fixed income securities held as at June 30, 2025. The Company's four largest corporate holdings are 100.0% euro denominated, with 17.5% in the Consumer Sector and 47.5% in the Financial Institutions sector.</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80" w:type="dxa"/>
            <w:vAlign w:val="bottom"/>
            <w:gridSpan w:val="3"/>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 of Holdings</w:t>
            </w: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Rating</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Chubb Ina Holdings Inc., 1.55%, Due 3/15/2028</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4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20" w:type="dxa"/>
            <w:vAlign w:val="bottom"/>
            <w:shd w:val="clear" w:color="auto" w:fill="CCFFCC"/>
          </w:tcPr>
          <w:p>
            <w:pPr>
              <w:jc w:val="center"/>
              <w:ind w:right="194"/>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PPG Industries Inc., 0.875%, Due 11/3/2025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McKesson Corp., 1.5% Due 11/17/2025</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4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120" w:type="dxa"/>
            <w:vAlign w:val="bottom"/>
            <w:shd w:val="clear" w:color="auto" w:fill="CCFFCC"/>
          </w:tcPr>
          <w:p>
            <w:pPr>
              <w:jc w:val="center"/>
              <w:ind w:right="194"/>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American Tower Corp, 1.0%, Due 1/15/2032</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FF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FFCC"/>
            </w:tcBorders>
          </w:tcPr>
          <w:p>
            <w:pPr>
              <w:spacing w:after="0"/>
              <w:rPr>
                <w:sz w:val="19"/>
                <w:szCs w:val="19"/>
                <w:color w:val="auto"/>
              </w:rPr>
            </w:pPr>
          </w:p>
        </w:tc>
        <w:tc>
          <w:tcPr>
            <w:tcW w:w="300" w:type="dxa"/>
            <w:vAlign w:val="bottom"/>
            <w:tcBorders>
              <w:bottom w:val="single" w:sz="8" w:color="CCFFCC"/>
            </w:tcBorders>
          </w:tcPr>
          <w:p>
            <w:pPr>
              <w:spacing w:after="0"/>
              <w:rPr>
                <w:sz w:val="19"/>
                <w:szCs w:val="19"/>
                <w:color w:val="auto"/>
              </w:rPr>
            </w:pPr>
          </w:p>
        </w:tc>
        <w:tc>
          <w:tcPr>
            <w:tcW w:w="1120" w:type="dxa"/>
            <w:vAlign w:val="bottom"/>
            <w:tcBorders>
              <w:bottom w:val="single" w:sz="8" w:color="CCFFCC"/>
            </w:tcBorders>
          </w:tcPr>
          <w:p>
            <w:pPr>
              <w:jc w:val="center"/>
              <w:ind w:right="194"/>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tcBorders>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2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1340" w:type="dxa"/>
            <w:vAlign w:val="bottom"/>
            <w:tcBorders>
              <w:bottom w:val="single" w:sz="8" w:color="auto"/>
            </w:tcBorders>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2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  Ratings as assigned by S&amp;P, or equivalent</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vMerge w:val="continue"/>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At June 30, 2025, we held the following types of non-U.S. dollar denominated securities: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tcBorders>
              <w:top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Non-USD denominated collateralized loan obligations</w:t>
            </w:r>
          </w:p>
        </w:tc>
        <w:tc>
          <w:tcPr>
            <w:tcW w:w="180" w:type="dxa"/>
            <w:vAlign w:val="bottom"/>
            <w:tcBorders>
              <w:top w:val="single" w:sz="8" w:color="CCFFCC"/>
            </w:tcBorders>
            <w:shd w:val="clear" w:color="auto" w:fill="CCFFCC"/>
          </w:tcPr>
          <w:p>
            <w:pPr>
              <w:spacing w:after="0"/>
              <w:rPr>
                <w:sz w:val="19"/>
                <w:szCs w:val="19"/>
                <w:color w:val="auto"/>
              </w:rPr>
            </w:pPr>
          </w:p>
        </w:tc>
        <w:tc>
          <w:tcPr>
            <w:tcW w:w="1360" w:type="dxa"/>
            <w:vAlign w:val="bottom"/>
            <w:tcBorders>
              <w:top w:val="single" w:sz="8" w:color="CCFFCC"/>
            </w:tcBorders>
            <w:gridSpan w:val="2"/>
            <w:shd w:val="clear" w:color="auto" w:fill="CCFFCC"/>
          </w:tcPr>
          <w:p>
            <w:pPr>
              <w:spacing w:after="0"/>
              <w:rPr>
                <w:sz w:val="19"/>
                <w:szCs w:val="19"/>
                <w:color w:val="auto"/>
              </w:rPr>
            </w:pPr>
          </w:p>
        </w:tc>
        <w:tc>
          <w:tcPr>
            <w:tcW w:w="220" w:type="dxa"/>
            <w:vAlign w:val="bottom"/>
            <w:tcBorders>
              <w:top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68,686</w:t>
            </w:r>
          </w:p>
        </w:tc>
        <w:tc>
          <w:tcPr>
            <w:tcW w:w="100" w:type="dxa"/>
            <w:vAlign w:val="bottom"/>
            <w:tcBorders>
              <w:top w:val="single" w:sz="8" w:color="CCFFCC"/>
            </w:tcBorders>
            <w:shd w:val="clear" w:color="auto" w:fill="CCFFCC"/>
          </w:tcPr>
          <w:p>
            <w:pPr>
              <w:spacing w:after="0"/>
              <w:rPr>
                <w:sz w:val="19"/>
                <w:szCs w:val="19"/>
                <w:color w:val="auto"/>
              </w:rPr>
            </w:pPr>
          </w:p>
        </w:tc>
        <w:tc>
          <w:tcPr>
            <w:tcW w:w="40" w:type="dxa"/>
            <w:vAlign w:val="bottom"/>
            <w:tcBorders>
              <w:top w:val="single" w:sz="8" w:color="auto"/>
            </w:tcBorders>
            <w:shd w:val="clear" w:color="auto" w:fill="CCFFCC"/>
          </w:tcPr>
          <w:p>
            <w:pPr>
              <w:spacing w:after="0"/>
              <w:rPr>
                <w:sz w:val="19"/>
                <w:szCs w:val="19"/>
                <w:color w:val="auto"/>
              </w:rPr>
            </w:pPr>
          </w:p>
        </w:tc>
        <w:tc>
          <w:tcPr>
            <w:tcW w:w="100" w:type="dxa"/>
            <w:vAlign w:val="bottom"/>
            <w:tcBorders>
              <w:top w:val="single" w:sz="8" w:color="auto"/>
            </w:tcBorders>
            <w:shd w:val="clear" w:color="auto" w:fill="CCFFCC"/>
          </w:tcPr>
          <w:p>
            <w:pPr>
              <w:spacing w:after="0"/>
              <w:rPr>
                <w:sz w:val="19"/>
                <w:szCs w:val="19"/>
                <w:color w:val="auto"/>
              </w:rPr>
            </w:pPr>
          </w:p>
        </w:tc>
        <w:tc>
          <w:tcPr>
            <w:tcW w:w="300" w:type="dxa"/>
            <w:vAlign w:val="bottom"/>
            <w:tcBorders>
              <w:top w:val="single" w:sz="8" w:color="auto"/>
            </w:tcBorders>
            <w:shd w:val="clear" w:color="auto" w:fill="CCFFCC"/>
          </w:tcPr>
          <w:p>
            <w:pPr>
              <w:spacing w:after="0"/>
              <w:rPr>
                <w:sz w:val="19"/>
                <w:szCs w:val="19"/>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Non-USD denominated corporate bonds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8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Non-U.S. government bonds</w:t>
            </w:r>
          </w:p>
        </w:tc>
        <w:tc>
          <w:tcPr>
            <w:tcW w:w="18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100" w:type="dxa"/>
            <w:vAlign w:val="bottom"/>
            <w:shd w:val="clear" w:color="auto" w:fill="CCFFCC"/>
          </w:tcPr>
          <w:p>
            <w:pPr>
              <w:spacing w:after="0"/>
              <w:rPr>
                <w:sz w:val="19"/>
                <w:szCs w:val="19"/>
                <w:color w:val="auto"/>
              </w:rPr>
            </w:pPr>
          </w:p>
        </w:tc>
        <w:tc>
          <w:tcPr>
            <w:tcW w:w="40" w:type="dxa"/>
            <w:vAlign w:val="bottom"/>
            <w:tcBorders>
              <w:bottom w:val="single" w:sz="8" w:color="auto"/>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spacing w:after="0"/>
              <w:rPr>
                <w:sz w:val="19"/>
                <w:szCs w:val="19"/>
                <w:color w:val="auto"/>
              </w:rPr>
            </w:pPr>
          </w:p>
        </w:tc>
        <w:tc>
          <w:tcPr>
            <w:tcW w:w="300" w:type="dxa"/>
            <w:vAlign w:val="bottom"/>
            <w:tcBorders>
              <w:bottom w:val="single" w:sz="8" w:color="auto"/>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non-U.S. dollar denominated securities</w:t>
            </w:r>
          </w:p>
        </w:tc>
        <w:tc>
          <w:tcPr>
            <w:tcW w:w="18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139,423</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At June 30, 2025, 100.0% of non-U.S. dollar denominated securities were invested in euro denominated bonds. At June 30, 2025, the non-U.S.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government issuers all have a rating of A+ or higher by Fitch Ratings. We do not employ any credit default protection against any of the fixed maturities held in non-U.S. dollar denominated currencies at June 30, 2025. For our non-U.S. dollar denominated corporate bonds, the following table summarizes the composition of the fair value of our fixed maturity investments at the dates indicated by ratings at June 30, 2025:</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Ratings</w:t>
            </w:r>
            <w:r>
              <w:rPr>
                <w:rFonts w:ascii="Times New Roman" w:cs="Times New Roman" w:eastAsia="Times New Roman" w:hAnsi="Times New Roman"/>
                <w:sz w:val="20"/>
                <w:szCs w:val="20"/>
                <w:b w:val="1"/>
                <w:bCs w:val="1"/>
                <w:color w:val="auto"/>
                <w:vertAlign w:val="superscript"/>
              </w:rPr>
              <w:t>(1)</w:t>
            </w:r>
          </w:p>
        </w:tc>
        <w:tc>
          <w:tcPr>
            <w:tcW w:w="1060" w:type="dxa"/>
            <w:vAlign w:val="bottom"/>
          </w:tcPr>
          <w:p>
            <w:pPr>
              <w:spacing w:after="0"/>
              <w:rPr>
                <w:sz w:val="19"/>
                <w:szCs w:val="19"/>
                <w:color w:val="auto"/>
              </w:rPr>
            </w:pPr>
          </w:p>
        </w:tc>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181"/>
        </w:trPr>
        <w:tc>
          <w:tcPr>
            <w:tcW w:w="7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15"/>
                <w:szCs w:val="15"/>
                <w:color w:val="auto"/>
              </w:rPr>
            </w:pPr>
          </w:p>
        </w:tc>
        <w:tc>
          <w:tcPr>
            <w:tcW w:w="1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 of Total</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8100" w:type="dxa"/>
            <w:vAlign w:val="bottom"/>
            <w:tcBorders>
              <w:top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 A, A-</w:t>
            </w:r>
          </w:p>
        </w:tc>
        <w:tc>
          <w:tcPr>
            <w:tcW w:w="460" w:type="dxa"/>
            <w:vAlign w:val="bottom"/>
            <w:tcBorders>
              <w:top w:val="single" w:sz="8" w:color="auto"/>
            </w:tcBorders>
            <w:shd w:val="clear" w:color="auto" w:fill="CCFFC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10,391</w:t>
            </w:r>
          </w:p>
        </w:tc>
        <w:tc>
          <w:tcPr>
            <w:tcW w:w="100" w:type="dxa"/>
            <w:vAlign w:val="bottom"/>
            <w:tcBorders>
              <w:top w:val="single" w:sz="8" w:color="CCFFCC"/>
            </w:tcBorders>
            <w:shd w:val="clear" w:color="auto" w:fill="CCFFCC"/>
          </w:tcPr>
          <w:p>
            <w:pPr>
              <w:spacing w:after="0"/>
              <w:rPr>
                <w:sz w:val="20"/>
                <w:szCs w:val="20"/>
                <w:color w:val="auto"/>
              </w:rPr>
            </w:pPr>
          </w:p>
        </w:tc>
        <w:tc>
          <w:tcPr>
            <w:tcW w:w="1560" w:type="dxa"/>
            <w:vAlign w:val="bottom"/>
            <w:tcBorders>
              <w:top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28"/>
        </w:trPr>
        <w:tc>
          <w:tcPr>
            <w:tcW w:w="8100" w:type="dxa"/>
            <w:vAlign w:val="bottom"/>
            <w:tcBorders>
              <w:bottom w:val="single" w:sz="8" w:color="CCFFCC"/>
            </w:tcBorders>
          </w:tcPr>
          <w:p>
            <w:pPr>
              <w:spacing w:after="0"/>
              <w:rPr>
                <w:sz w:val="20"/>
                <w:szCs w:val="20"/>
                <w:color w:val="auto"/>
              </w:rPr>
            </w:pPr>
            <w:r>
              <w:rPr>
                <w:rFonts w:ascii="Times New Roman" w:cs="Times New Roman" w:eastAsia="Times New Roman" w:hAnsi="Times New Roman"/>
                <w:sz w:val="18"/>
                <w:szCs w:val="18"/>
                <w:color w:val="auto"/>
              </w:rPr>
              <w:t>BBB+, BBB, BBB-</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CCFFCC"/>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46"/>
        </w:trPr>
        <w:tc>
          <w:tcPr>
            <w:tcW w:w="81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Total non-U.S. dollar denominated corporate bonds</w:t>
            </w:r>
          </w:p>
        </w:tc>
        <w:tc>
          <w:tcPr>
            <w:tcW w:w="460" w:type="dxa"/>
            <w:vAlign w:val="bottom"/>
            <w:tcBorders>
              <w:bottom w:val="single" w:sz="8" w:color="auto"/>
            </w:tcBorders>
            <w:shd w:val="clear" w:color="auto" w:fill="CCFFCC"/>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100" w:type="dxa"/>
            <w:vAlign w:val="bottom"/>
            <w:tcBorders>
              <w:bottom w:val="single" w:sz="8" w:color="CCFFCC"/>
            </w:tcBorders>
            <w:shd w:val="clear" w:color="auto" w:fill="CCFFCC"/>
          </w:tcPr>
          <w:p>
            <w:pPr>
              <w:spacing w:after="0"/>
              <w:rPr>
                <w:sz w:val="20"/>
                <w:szCs w:val="20"/>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10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560" w:type="dxa"/>
            <w:vAlign w:val="bottom"/>
            <w:tcBorders>
              <w:top w:val="single" w:sz="8" w:color="CCFFCC"/>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(1)</w:t>
        <w:tab/>
        <w:t>Ratings as assigned by S&amp;P, or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color w:val="auto"/>
        </w:rPr>
        <w:t>Other Investments , Equity Securities and Equity Method Investments</w:t>
      </w:r>
    </w:p>
    <w:p>
      <w:pPr>
        <w:spacing w:after="0" w:line="103"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Company's alternative investments are categorized as other investments, equity securities and equity method investments as reported on our condensed consolidated balance sheets. These include private equity funds, private credit funds, investments in limited partnerships, as well as investments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 direct lending entities and investments in technology-oriented insurance related businesses known as insurtechs. Private equity investments consist of direct investments in privately held entities, investments in private equity funds and private equity co-investments with sponsoring entities. Private credit investments consist of loans and other debt securities of privately held entities or investment sponsors. Our alternative investments as of June 30,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the following asset categories: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D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4"/>
        </w:trPr>
        <w:tc>
          <w:tcPr>
            <w:tcW w:w="824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shd w:val="clear" w:color="auto" w:fill="CDFFCC"/>
          </w:tcPr>
          <w:p>
            <w:pPr>
              <w:spacing w:after="0"/>
              <w:rPr>
                <w:sz w:val="16"/>
                <w:szCs w:val="16"/>
                <w:color w:val="auto"/>
              </w:rPr>
            </w:pPr>
          </w:p>
        </w:tc>
        <w:tc>
          <w:tcPr>
            <w:tcW w:w="160" w:type="dxa"/>
            <w:vAlign w:val="bottom"/>
            <w:shd w:val="clear" w:color="auto" w:fill="CDFFCC"/>
          </w:tcPr>
          <w:p>
            <w:pPr>
              <w:spacing w:after="0"/>
              <w:rPr>
                <w:sz w:val="16"/>
                <w:szCs w:val="16"/>
                <w:color w:val="auto"/>
              </w:rPr>
            </w:pPr>
          </w:p>
        </w:tc>
        <w:tc>
          <w:tcPr>
            <w:tcW w:w="1680" w:type="dxa"/>
            <w:vAlign w:val="bottom"/>
            <w:gridSpan w:val="3"/>
            <w:shd w:val="clear" w:color="auto" w:fill="CDFFCC"/>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0" w:type="dxa"/>
            <w:vAlign w:val="bottom"/>
            <w:shd w:val="clear" w:color="auto" w:fill="CDFFCC"/>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shd w:val="clear" w:color="auto" w:fill="CDFFCC"/>
          </w:tcPr>
          <w:p>
            <w:pPr>
              <w:spacing w:after="0"/>
              <w:rPr>
                <w:sz w:val="16"/>
                <w:szCs w:val="16"/>
                <w:color w:val="auto"/>
              </w:rPr>
            </w:pPr>
          </w:p>
        </w:tc>
      </w:tr>
      <w:tr>
        <w:trPr>
          <w:trHeight w:val="221"/>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Privately held common stocks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6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8"/>
                <w:szCs w:val="18"/>
                <w:color w:val="auto"/>
              </w:rPr>
              <w:t>Privately held preferred stocks</w:t>
            </w:r>
          </w:p>
        </w:tc>
        <w:tc>
          <w:tcPr>
            <w:tcW w:w="160" w:type="dxa"/>
            <w:vAlign w:val="bottom"/>
            <w:tcBorders>
              <w:bottom w:val="single" w:sz="8" w:color="auto"/>
            </w:tcBorders>
            <w:shd w:val="clear" w:color="auto" w:fill="CDFFCC"/>
          </w:tcPr>
          <w:p>
            <w:pPr>
              <w:spacing w:after="0"/>
              <w:rPr>
                <w:sz w:val="19"/>
                <w:szCs w:val="19"/>
                <w:color w:val="auto"/>
              </w:rPr>
            </w:pPr>
          </w:p>
        </w:tc>
        <w:tc>
          <w:tcPr>
            <w:tcW w:w="12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DFFCC"/>
          </w:tcPr>
          <w:p>
            <w:pPr>
              <w:spacing w:after="0"/>
              <w:rPr>
                <w:sz w:val="19"/>
                <w:szCs w:val="19"/>
                <w:color w:val="auto"/>
              </w:rPr>
            </w:pPr>
          </w:p>
        </w:tc>
        <w:tc>
          <w:tcPr>
            <w:tcW w:w="320" w:type="dxa"/>
            <w:vAlign w:val="bottom"/>
            <w:tcBorders>
              <w:bottom w:val="single" w:sz="8" w:color="auto"/>
            </w:tcBorders>
            <w:shd w:val="clear" w:color="auto" w:fill="CDFFCC"/>
          </w:tcPr>
          <w:p>
            <w:pPr>
              <w:spacing w:after="0"/>
              <w:rPr>
                <w:sz w:val="19"/>
                <w:szCs w:val="19"/>
                <w:color w:val="auto"/>
              </w:rPr>
            </w:pPr>
          </w:p>
        </w:tc>
        <w:tc>
          <w:tcPr>
            <w:tcW w:w="8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360" w:type="dxa"/>
            <w:vAlign w:val="bottom"/>
            <w:tcBorders>
              <w:bottom w:val="single" w:sz="8" w:color="CDFFCC"/>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equity securities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11,191</w:t>
            </w:r>
          </w:p>
        </w:tc>
        <w:tc>
          <w:tcPr>
            <w:tcW w:w="10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r>
      <w:tr>
        <w:trPr>
          <w:trHeight w:val="248"/>
        </w:trPr>
        <w:tc>
          <w:tcPr>
            <w:tcW w:w="8240" w:type="dxa"/>
            <w:vAlign w:val="bottom"/>
            <w:shd w:val="clear" w:color="auto" w:fill="CDFFCC"/>
          </w:tcPr>
          <w:p>
            <w:pPr>
              <w:spacing w:after="0"/>
              <w:rPr>
                <w:sz w:val="21"/>
                <w:szCs w:val="21"/>
                <w:color w:val="auto"/>
              </w:rPr>
            </w:pPr>
          </w:p>
        </w:tc>
        <w:tc>
          <w:tcPr>
            <w:tcW w:w="120" w:type="dxa"/>
            <w:vAlign w:val="bottom"/>
            <w:shd w:val="clear" w:color="auto" w:fill="CDFFCC"/>
          </w:tcPr>
          <w:p>
            <w:pPr>
              <w:spacing w:after="0"/>
              <w:rPr>
                <w:sz w:val="21"/>
                <w:szCs w:val="21"/>
                <w:color w:val="auto"/>
              </w:rPr>
            </w:pPr>
          </w:p>
        </w:tc>
        <w:tc>
          <w:tcPr>
            <w:tcW w:w="160" w:type="dxa"/>
            <w:vAlign w:val="bottom"/>
            <w:shd w:val="clear" w:color="auto" w:fill="CDFFCC"/>
          </w:tcPr>
          <w:p>
            <w:pPr>
              <w:spacing w:after="0"/>
              <w:rPr>
                <w:sz w:val="21"/>
                <w:szCs w:val="21"/>
                <w:color w:val="auto"/>
              </w:rPr>
            </w:pPr>
          </w:p>
        </w:tc>
        <w:tc>
          <w:tcPr>
            <w:tcW w:w="1260" w:type="dxa"/>
            <w:vAlign w:val="bottom"/>
            <w:shd w:val="clear" w:color="auto" w:fill="CDFFCC"/>
          </w:tcPr>
          <w:p>
            <w:pPr>
              <w:spacing w:after="0"/>
              <w:rPr>
                <w:sz w:val="21"/>
                <w:szCs w:val="21"/>
                <w:color w:val="auto"/>
              </w:rPr>
            </w:pPr>
          </w:p>
        </w:tc>
        <w:tc>
          <w:tcPr>
            <w:tcW w:w="100" w:type="dxa"/>
            <w:vAlign w:val="bottom"/>
            <w:shd w:val="clear" w:color="auto" w:fill="CDFFCC"/>
          </w:tcPr>
          <w:p>
            <w:pPr>
              <w:spacing w:after="0"/>
              <w:rPr>
                <w:sz w:val="21"/>
                <w:szCs w:val="21"/>
                <w:color w:val="auto"/>
              </w:rPr>
            </w:pPr>
          </w:p>
        </w:tc>
        <w:tc>
          <w:tcPr>
            <w:tcW w:w="320" w:type="dxa"/>
            <w:vAlign w:val="bottom"/>
            <w:shd w:val="clear" w:color="auto" w:fill="CDFFCC"/>
          </w:tcPr>
          <w:p>
            <w:pPr>
              <w:spacing w:after="0"/>
              <w:rPr>
                <w:sz w:val="21"/>
                <w:szCs w:val="21"/>
                <w:color w:val="auto"/>
              </w:rPr>
            </w:pPr>
          </w:p>
        </w:tc>
        <w:tc>
          <w:tcPr>
            <w:tcW w:w="800" w:type="dxa"/>
            <w:vAlign w:val="bottom"/>
            <w:shd w:val="clear" w:color="auto" w:fill="CDFFCC"/>
          </w:tcPr>
          <w:p>
            <w:pPr>
              <w:spacing w:after="0"/>
              <w:rPr>
                <w:sz w:val="21"/>
                <w:szCs w:val="21"/>
                <w:color w:val="auto"/>
              </w:rPr>
            </w:pPr>
          </w:p>
        </w:tc>
        <w:tc>
          <w:tcPr>
            <w:tcW w:w="200" w:type="dxa"/>
            <w:vAlign w:val="bottom"/>
            <w:shd w:val="clear" w:color="auto" w:fill="CDFFCC"/>
          </w:tcPr>
          <w:p>
            <w:pPr>
              <w:spacing w:after="0"/>
              <w:rPr>
                <w:sz w:val="21"/>
                <w:szCs w:val="21"/>
                <w:color w:val="auto"/>
              </w:rPr>
            </w:pPr>
          </w:p>
        </w:tc>
      </w:tr>
      <w:tr>
        <w:trPr>
          <w:trHeight w:val="228"/>
        </w:trPr>
        <w:tc>
          <w:tcPr>
            <w:tcW w:w="8360" w:type="dxa"/>
            <w:vAlign w:val="bottom"/>
            <w:tcBorders>
              <w:bottom w:val="single" w:sz="8" w:color="CDFFC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Real estate investments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33,173</w:t>
            </w:r>
          </w:p>
        </w:tc>
        <w:tc>
          <w:tcPr>
            <w:tcW w:w="10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360" w:type="dxa"/>
            <w:vAlign w:val="bottom"/>
            <w:gridSpan w:val="2"/>
            <w:shd w:val="clear" w:color="auto" w:fill="CDFFCC"/>
          </w:tcPr>
          <w:p>
            <w:pPr>
              <w:ind w:left="120"/>
              <w:spacing w:after="0"/>
              <w:rPr>
                <w:sz w:val="20"/>
                <w:szCs w:val="20"/>
                <w:color w:val="auto"/>
              </w:rPr>
            </w:pPr>
            <w:r>
              <w:rPr>
                <w:rFonts w:ascii="Times New Roman" w:cs="Times New Roman" w:eastAsia="Times New Roman" w:hAnsi="Times New Roman"/>
                <w:sz w:val="18"/>
                <w:szCs w:val="18"/>
                <w:b w:val="1"/>
                <w:bCs w:val="1"/>
                <w:color w:val="auto"/>
              </w:rPr>
              <w:t>Total equity method investments</w:t>
            </w:r>
          </w:p>
        </w:tc>
        <w:tc>
          <w:tcPr>
            <w:tcW w:w="1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b w:val="1"/>
                <w:bCs w:val="1"/>
                <w:color w:val="auto"/>
              </w:rPr>
              <w:t>33,173</w:t>
            </w:r>
          </w:p>
        </w:tc>
        <w:tc>
          <w:tcPr>
            <w:tcW w:w="100" w:type="dxa"/>
            <w:vAlign w:val="bottom"/>
            <w:shd w:val="clear" w:color="auto" w:fill="CDFFCC"/>
          </w:tcPr>
          <w:p>
            <w:pPr>
              <w:spacing w:after="0"/>
              <w:rPr>
                <w:sz w:val="19"/>
                <w:szCs w:val="19"/>
                <w:color w:val="auto"/>
              </w:rPr>
            </w:pPr>
          </w:p>
        </w:tc>
        <w:tc>
          <w:tcPr>
            <w:tcW w:w="320" w:type="dxa"/>
            <w:vAlign w:val="bottom"/>
            <w:tcBorders>
              <w:bottom w:val="single" w:sz="8" w:color="auto"/>
            </w:tcBorders>
            <w:shd w:val="clear" w:color="auto" w:fill="CDFFCC"/>
          </w:tcPr>
          <w:p>
            <w:pPr>
              <w:spacing w:after="0"/>
              <w:rPr>
                <w:sz w:val="19"/>
                <w:szCs w:val="19"/>
                <w:color w:val="auto"/>
              </w:rPr>
            </w:pPr>
          </w:p>
        </w:tc>
        <w:tc>
          <w:tcPr>
            <w:tcW w:w="1000" w:type="dxa"/>
            <w:vAlign w:val="bottom"/>
            <w:tcBorders>
              <w:bottom w:val="single" w:sz="8" w:color="auto"/>
            </w:tcBorders>
            <w:gridSpan w:val="2"/>
            <w:shd w:val="clear" w:color="auto" w:fill="CDFFCC"/>
          </w:tcPr>
          <w:p>
            <w:pPr>
              <w:jc w:val="right"/>
              <w:spacing w:after="0"/>
              <w:rPr>
                <w:sz w:val="20"/>
                <w:szCs w:val="20"/>
                <w:color w:val="auto"/>
              </w:rPr>
            </w:pPr>
            <w:r>
              <w:rPr>
                <w:rFonts w:ascii="Times New Roman" w:cs="Times New Roman" w:eastAsia="Times New Roman" w:hAnsi="Times New Roman"/>
                <w:sz w:val="18"/>
                <w:szCs w:val="18"/>
                <w:b w:val="1"/>
                <w:bCs w:val="1"/>
                <w:color w:val="auto"/>
              </w:rPr>
              <w:t>16.1 %</w:t>
            </w:r>
          </w:p>
        </w:tc>
      </w:tr>
      <w:tr>
        <w:trPr>
          <w:trHeight w:val="248"/>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28"/>
        </w:trPr>
        <w:tc>
          <w:tcPr>
            <w:tcW w:w="836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8"/>
                <w:szCs w:val="18"/>
                <w:color w:val="auto"/>
              </w:rPr>
              <w:t>Private equity funds</w:t>
            </w:r>
          </w:p>
        </w:tc>
        <w:tc>
          <w:tcPr>
            <w:tcW w:w="1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8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Private credit investments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60" w:type="dxa"/>
            <w:vAlign w:val="bottom"/>
            <w:gridSpan w:val="2"/>
            <w:shd w:val="clear" w:color="auto" w:fill="CDFFCC"/>
          </w:tcPr>
          <w:p>
            <w:pPr>
              <w:ind w:left="180"/>
              <w:spacing w:after="0"/>
              <w:rPr>
                <w:sz w:val="20"/>
                <w:szCs w:val="20"/>
                <w:color w:val="auto"/>
              </w:rPr>
            </w:pPr>
            <w:r>
              <w:rPr>
                <w:rFonts w:ascii="Times New Roman" w:cs="Times New Roman" w:eastAsia="Times New Roman" w:hAnsi="Times New Roman"/>
                <w:sz w:val="18"/>
                <w:szCs w:val="18"/>
                <w:color w:val="auto"/>
              </w:rPr>
              <w:t>Privately held equity investments</w:t>
            </w:r>
          </w:p>
        </w:tc>
        <w:tc>
          <w:tcPr>
            <w:tcW w:w="1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0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8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method investments with fair value option elected</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60" w:type="dxa"/>
            <w:vAlign w:val="bottom"/>
            <w:gridSpan w:val="2"/>
            <w:shd w:val="clear" w:color="auto" w:fill="CDFFCC"/>
          </w:tcPr>
          <w:p>
            <w:pPr>
              <w:ind w:left="160"/>
              <w:spacing w:after="0"/>
              <w:rPr>
                <w:sz w:val="20"/>
                <w:szCs w:val="20"/>
                <w:color w:val="auto"/>
              </w:rPr>
            </w:pPr>
            <w:r>
              <w:rPr>
                <w:rFonts w:ascii="Times New Roman" w:cs="Times New Roman" w:eastAsia="Times New Roman" w:hAnsi="Times New Roman"/>
                <w:sz w:val="18"/>
                <w:szCs w:val="18"/>
                <w:color w:val="auto"/>
              </w:rPr>
              <w:t>Investments in direct lending entities</w:t>
            </w:r>
          </w:p>
        </w:tc>
        <w:tc>
          <w:tcPr>
            <w:tcW w:w="160" w:type="dxa"/>
            <w:vAlign w:val="bottom"/>
            <w:tcBorders>
              <w:bottom w:val="single" w:sz="8" w:color="auto"/>
            </w:tcBorders>
            <w:shd w:val="clear" w:color="auto" w:fill="CDFFCC"/>
          </w:tcPr>
          <w:p>
            <w:pPr>
              <w:spacing w:after="0"/>
              <w:rPr>
                <w:sz w:val="19"/>
                <w:szCs w:val="19"/>
                <w:color w:val="auto"/>
              </w:rPr>
            </w:pPr>
          </w:p>
        </w:tc>
        <w:tc>
          <w:tcPr>
            <w:tcW w:w="12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49,978</w:t>
            </w:r>
          </w:p>
        </w:tc>
        <w:tc>
          <w:tcPr>
            <w:tcW w:w="100" w:type="dxa"/>
            <w:vAlign w:val="bottom"/>
            <w:shd w:val="clear" w:color="auto" w:fill="CDFFCC"/>
          </w:tcPr>
          <w:p>
            <w:pPr>
              <w:spacing w:after="0"/>
              <w:rPr>
                <w:sz w:val="19"/>
                <w:szCs w:val="19"/>
                <w:color w:val="auto"/>
              </w:rPr>
            </w:pPr>
          </w:p>
        </w:tc>
        <w:tc>
          <w:tcPr>
            <w:tcW w:w="320" w:type="dxa"/>
            <w:vAlign w:val="bottom"/>
            <w:tcBorders>
              <w:bottom w:val="single" w:sz="8" w:color="auto"/>
            </w:tcBorders>
            <w:shd w:val="clear" w:color="auto" w:fill="CDFFCC"/>
          </w:tcPr>
          <w:p>
            <w:pPr>
              <w:spacing w:after="0"/>
              <w:rPr>
                <w:sz w:val="19"/>
                <w:szCs w:val="19"/>
                <w:color w:val="auto"/>
              </w:rPr>
            </w:pPr>
          </w:p>
        </w:tc>
        <w:tc>
          <w:tcPr>
            <w:tcW w:w="8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360" w:type="dxa"/>
            <w:vAlign w:val="bottom"/>
            <w:tcBorders>
              <w:bottom w:val="single" w:sz="8" w:color="CDFFCC"/>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 other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162,105</w:t>
            </w:r>
          </w:p>
        </w:tc>
        <w:tc>
          <w:tcPr>
            <w:tcW w:w="10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78.5 %</w:t>
            </w:r>
          </w:p>
        </w:tc>
      </w:tr>
      <w:tr>
        <w:trPr>
          <w:trHeight w:val="221"/>
        </w:trPr>
        <w:tc>
          <w:tcPr>
            <w:tcW w:w="8240" w:type="dxa"/>
            <w:vAlign w:val="bottom"/>
            <w:shd w:val="clear" w:color="auto" w:fill="CDFFCC"/>
          </w:tcPr>
          <w:p>
            <w:pPr>
              <w:spacing w:after="0"/>
              <w:rPr>
                <w:sz w:val="19"/>
                <w:szCs w:val="19"/>
                <w:color w:val="auto"/>
              </w:rPr>
            </w:pPr>
          </w:p>
        </w:tc>
        <w:tc>
          <w:tcPr>
            <w:tcW w:w="120" w:type="dxa"/>
            <w:vAlign w:val="bottom"/>
            <w:shd w:val="clear" w:color="auto" w:fill="CDFFCC"/>
          </w:tcPr>
          <w:p>
            <w:pPr>
              <w:spacing w:after="0"/>
              <w:rPr>
                <w:sz w:val="19"/>
                <w:szCs w:val="19"/>
                <w:color w:val="auto"/>
              </w:rPr>
            </w:pPr>
          </w:p>
        </w:tc>
        <w:tc>
          <w:tcPr>
            <w:tcW w:w="160" w:type="dxa"/>
            <w:vAlign w:val="bottom"/>
            <w:tcBorders>
              <w:bottom w:val="single" w:sz="8" w:color="auto"/>
            </w:tcBorders>
            <w:shd w:val="clear" w:color="auto" w:fill="CDFFCC"/>
          </w:tcPr>
          <w:p>
            <w:pPr>
              <w:spacing w:after="0"/>
              <w:rPr>
                <w:sz w:val="19"/>
                <w:szCs w:val="19"/>
                <w:color w:val="auto"/>
              </w:rPr>
            </w:pPr>
          </w:p>
        </w:tc>
        <w:tc>
          <w:tcPr>
            <w:tcW w:w="1260" w:type="dxa"/>
            <w:vAlign w:val="bottom"/>
            <w:tcBorders>
              <w:bottom w:val="single" w:sz="8" w:color="auto"/>
            </w:tcBorders>
            <w:shd w:val="clear" w:color="auto" w:fill="CDFFCC"/>
          </w:tcPr>
          <w:p>
            <w:pPr>
              <w:spacing w:after="0"/>
              <w:rPr>
                <w:sz w:val="19"/>
                <w:szCs w:val="19"/>
                <w:color w:val="auto"/>
              </w:rPr>
            </w:pPr>
          </w:p>
        </w:tc>
        <w:tc>
          <w:tcPr>
            <w:tcW w:w="100" w:type="dxa"/>
            <w:vAlign w:val="bottom"/>
            <w:shd w:val="clear" w:color="auto" w:fill="CDFFCC"/>
          </w:tcPr>
          <w:p>
            <w:pPr>
              <w:spacing w:after="0"/>
              <w:rPr>
                <w:sz w:val="19"/>
                <w:szCs w:val="19"/>
                <w:color w:val="auto"/>
              </w:rPr>
            </w:pPr>
          </w:p>
        </w:tc>
        <w:tc>
          <w:tcPr>
            <w:tcW w:w="320" w:type="dxa"/>
            <w:vAlign w:val="bottom"/>
            <w:tcBorders>
              <w:bottom w:val="single" w:sz="8" w:color="auto"/>
            </w:tcBorders>
            <w:shd w:val="clear" w:color="auto" w:fill="CDFFCC"/>
          </w:tcPr>
          <w:p>
            <w:pPr>
              <w:spacing w:after="0"/>
              <w:rPr>
                <w:sz w:val="19"/>
                <w:szCs w:val="19"/>
                <w:color w:val="auto"/>
              </w:rPr>
            </w:pPr>
          </w:p>
        </w:tc>
        <w:tc>
          <w:tcPr>
            <w:tcW w:w="800" w:type="dxa"/>
            <w:vAlign w:val="bottom"/>
            <w:tcBorders>
              <w:bottom w:val="single" w:sz="8" w:color="auto"/>
            </w:tcBorders>
            <w:shd w:val="clear" w:color="auto" w:fill="CDFFCC"/>
          </w:tcPr>
          <w:p>
            <w:pPr>
              <w:spacing w:after="0"/>
              <w:rPr>
                <w:sz w:val="19"/>
                <w:szCs w:val="19"/>
                <w:color w:val="auto"/>
              </w:rPr>
            </w:pPr>
          </w:p>
        </w:tc>
        <w:tc>
          <w:tcPr>
            <w:tcW w:w="200" w:type="dxa"/>
            <w:vAlign w:val="bottom"/>
            <w:tcBorders>
              <w:bottom w:val="single" w:sz="8" w:color="auto"/>
            </w:tcBorders>
            <w:shd w:val="clear" w:color="auto" w:fill="CDFFCC"/>
          </w:tcPr>
          <w:p>
            <w:pPr>
              <w:spacing w:after="0"/>
              <w:rPr>
                <w:sz w:val="19"/>
                <w:szCs w:val="19"/>
                <w:color w:val="auto"/>
              </w:rPr>
            </w:pPr>
          </w:p>
        </w:tc>
      </w:tr>
      <w:tr>
        <w:trPr>
          <w:trHeight w:val="221"/>
        </w:trPr>
        <w:tc>
          <w:tcPr>
            <w:tcW w:w="8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alternative investments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206,469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allocation to alternative investments increased to 46.3% of our total cash and investments held as of June 30, 2025, reflecting assets assumed in the</w:t>
      </w:r>
    </w:p>
    <w:p>
      <w:pPr>
        <w:spacing w:after="0"/>
        <w:rPr>
          <w:sz w:val="20"/>
          <w:szCs w:val="20"/>
          <w:color w:val="auto"/>
        </w:rPr>
      </w:pPr>
      <w:r>
        <w:rPr>
          <w:rFonts w:ascii="Times New Roman" w:cs="Times New Roman" w:eastAsia="Times New Roman" w:hAnsi="Times New Roman"/>
          <w:sz w:val="18"/>
          <w:szCs w:val="18"/>
          <w:color w:val="auto"/>
        </w:rPr>
        <w:t>Combination. In addition to the categories described above, we also evaluate our alternative investments by the following asset classes: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8160" w:type="dxa"/>
            <w:vAlign w:val="bottom"/>
            <w:tcBorders>
              <w:bottom w:val="single" w:sz="8" w:color="auto"/>
            </w:tcBorders>
          </w:tcPr>
          <w:p>
            <w:pPr>
              <w:spacing w:after="0"/>
              <w:rPr>
                <w:sz w:val="2"/>
                <w:szCs w:val="2"/>
                <w:color w:val="auto"/>
              </w:rPr>
            </w:pPr>
          </w:p>
        </w:tc>
        <w:tc>
          <w:tcPr>
            <w:tcW w:w="120" w:type="dxa"/>
            <w:vAlign w:val="bottom"/>
            <w:tcBorders>
              <w:bottom w:val="single" w:sz="8" w:color="CD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4"/>
        </w:trPr>
        <w:tc>
          <w:tcPr>
            <w:tcW w:w="8160" w:type="dxa"/>
            <w:vAlign w:val="bottom"/>
            <w:shd w:val="clear" w:color="auto" w:fill="CDFFCC"/>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shd w:val="clear" w:color="auto" w:fill="CDFFCC"/>
          </w:tcPr>
          <w:p>
            <w:pPr>
              <w:spacing w:after="0"/>
              <w:rPr>
                <w:sz w:val="16"/>
                <w:szCs w:val="16"/>
                <w:color w:val="auto"/>
              </w:rPr>
            </w:pPr>
          </w:p>
        </w:tc>
        <w:tc>
          <w:tcPr>
            <w:tcW w:w="160" w:type="dxa"/>
            <w:vAlign w:val="bottom"/>
            <w:shd w:val="clear" w:color="auto" w:fill="CDFFCC"/>
          </w:tcPr>
          <w:p>
            <w:pPr>
              <w:spacing w:after="0"/>
              <w:rPr>
                <w:sz w:val="16"/>
                <w:szCs w:val="16"/>
                <w:color w:val="auto"/>
              </w:rPr>
            </w:pPr>
          </w:p>
        </w:tc>
        <w:tc>
          <w:tcPr>
            <w:tcW w:w="1680" w:type="dxa"/>
            <w:vAlign w:val="bottom"/>
            <w:gridSpan w:val="3"/>
            <w:shd w:val="clear" w:color="auto" w:fill="CDFFCC"/>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0" w:type="dxa"/>
            <w:vAlign w:val="bottom"/>
            <w:shd w:val="clear" w:color="auto" w:fill="CDFFCC"/>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shd w:val="clear" w:color="auto" w:fill="CDFFCC"/>
          </w:tcPr>
          <w:p>
            <w:pPr>
              <w:spacing w:after="0"/>
              <w:rPr>
                <w:sz w:val="16"/>
                <w:szCs w:val="16"/>
                <w:color w:val="auto"/>
              </w:rPr>
            </w:pPr>
          </w:p>
        </w:tc>
      </w:tr>
      <w:tr>
        <w:trPr>
          <w:trHeight w:val="221"/>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8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Private Credit</w:t>
            </w:r>
          </w:p>
        </w:tc>
        <w:tc>
          <w:tcPr>
            <w:tcW w:w="1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8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80" w:type="dxa"/>
            <w:vAlign w:val="bottom"/>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color w:val="auto"/>
              </w:rPr>
              <w:t>Venture Capital</w:t>
            </w:r>
          </w:p>
        </w:tc>
        <w:tc>
          <w:tcPr>
            <w:tcW w:w="160" w:type="dxa"/>
            <w:vAlign w:val="bottom"/>
            <w:shd w:val="clear" w:color="auto" w:fill="CDFFCC"/>
          </w:tcPr>
          <w:p>
            <w:pPr>
              <w:spacing w:after="0"/>
              <w:rPr>
                <w:sz w:val="19"/>
                <w:szCs w:val="19"/>
                <w:color w:val="auto"/>
              </w:rPr>
            </w:pPr>
          </w:p>
        </w:tc>
        <w:tc>
          <w:tcPr>
            <w:tcW w:w="126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26,426</w:t>
            </w:r>
          </w:p>
        </w:tc>
        <w:tc>
          <w:tcPr>
            <w:tcW w:w="100" w:type="dxa"/>
            <w:vAlign w:val="bottom"/>
            <w:shd w:val="clear" w:color="auto" w:fill="CDFFCC"/>
          </w:tcPr>
          <w:p>
            <w:pPr>
              <w:spacing w:after="0"/>
              <w:rPr>
                <w:sz w:val="19"/>
                <w:szCs w:val="19"/>
                <w:color w:val="auto"/>
              </w:rPr>
            </w:pPr>
          </w:p>
        </w:tc>
        <w:tc>
          <w:tcPr>
            <w:tcW w:w="320" w:type="dxa"/>
            <w:vAlign w:val="bottom"/>
            <w:shd w:val="clear" w:color="auto" w:fill="CDFFCC"/>
          </w:tcPr>
          <w:p>
            <w:pPr>
              <w:spacing w:after="0"/>
              <w:rPr>
                <w:sz w:val="19"/>
                <w:szCs w:val="19"/>
                <w:color w:val="auto"/>
              </w:rPr>
            </w:pPr>
          </w:p>
        </w:tc>
        <w:tc>
          <w:tcPr>
            <w:tcW w:w="8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shd w:val="clear" w:color="auto" w:fill="CD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80" w:type="dxa"/>
            <w:vAlign w:val="bottom"/>
            <w:tcBorders>
              <w:bottom w:val="single" w:sz="8" w:color="CD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84,757</w:t>
            </w:r>
          </w:p>
        </w:tc>
        <w:tc>
          <w:tcPr>
            <w:tcW w:w="100" w:type="dxa"/>
            <w:vAlign w:val="bottom"/>
            <w:tcBorders>
              <w:bottom w:val="single" w:sz="8" w:color="CDFF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280" w:type="dxa"/>
            <w:vAlign w:val="bottom"/>
            <w:tcBorders>
              <w:bottom w:val="single" w:sz="8" w:color="CDFFCC"/>
            </w:tcBorders>
            <w:gridSpan w:val="2"/>
            <w:shd w:val="clear" w:color="auto" w:fill="CD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 alternative investments</w:t>
            </w:r>
          </w:p>
        </w:tc>
        <w:tc>
          <w:tcPr>
            <w:tcW w:w="1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DFFCC"/>
          </w:tcPr>
          <w:p>
            <w:pPr>
              <w:jc w:val="right"/>
              <w:spacing w:after="0"/>
              <w:rPr>
                <w:sz w:val="20"/>
                <w:szCs w:val="20"/>
                <w:color w:val="auto"/>
              </w:rPr>
            </w:pPr>
            <w:r>
              <w:rPr>
                <w:rFonts w:ascii="Times New Roman" w:cs="Times New Roman" w:eastAsia="Times New Roman" w:hAnsi="Times New Roman"/>
                <w:sz w:val="18"/>
                <w:szCs w:val="18"/>
                <w:b w:val="1"/>
                <w:bCs w:val="1"/>
                <w:color w:val="auto"/>
              </w:rPr>
              <w:t>206,469</w:t>
            </w:r>
          </w:p>
        </w:tc>
        <w:tc>
          <w:tcPr>
            <w:tcW w:w="100" w:type="dxa"/>
            <w:vAlign w:val="bottom"/>
            <w:tcBorders>
              <w:bottom w:val="single" w:sz="8" w:color="CDFFCC"/>
            </w:tcBorders>
            <w:shd w:val="clear" w:color="auto" w:fill="CDFFCC"/>
          </w:tcPr>
          <w:p>
            <w:pPr>
              <w:spacing w:after="0"/>
              <w:rPr>
                <w:sz w:val="20"/>
                <w:szCs w:val="20"/>
                <w:color w:val="auto"/>
              </w:rPr>
            </w:pPr>
          </w:p>
        </w:tc>
        <w:tc>
          <w:tcPr>
            <w:tcW w:w="320" w:type="dxa"/>
            <w:vAlign w:val="bottom"/>
            <w:tcBorders>
              <w:bottom w:val="single" w:sz="8" w:color="auto"/>
            </w:tcBorders>
            <w:shd w:val="clear" w:color="auto" w:fill="CDFFCC"/>
          </w:tcPr>
          <w:p>
            <w:pPr>
              <w:spacing w:after="0"/>
              <w:rPr>
                <w:sz w:val="20"/>
                <w:szCs w:val="20"/>
                <w:color w:val="auto"/>
              </w:rPr>
            </w:pPr>
          </w:p>
        </w:tc>
        <w:tc>
          <w:tcPr>
            <w:tcW w:w="1000" w:type="dxa"/>
            <w:vAlign w:val="bottom"/>
            <w:tcBorders>
              <w:bottom w:val="single" w:sz="8" w:color="auto"/>
            </w:tcBorders>
            <w:gridSpan w:val="2"/>
            <w:shd w:val="clear" w:color="auto" w:fill="CDFFCC"/>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r>
      <w:tr>
        <w:trPr>
          <w:trHeight w:val="20"/>
        </w:trPr>
        <w:tc>
          <w:tcPr>
            <w:tcW w:w="8160" w:type="dxa"/>
            <w:vAlign w:val="bottom"/>
            <w:tcBorders>
              <w:top w:val="single" w:sz="8" w:color="CDFFCC"/>
            </w:tcBorders>
          </w:tcPr>
          <w:p>
            <w:pPr>
              <w:spacing w:after="0" w:line="20" w:lineRule="exact"/>
              <w:rPr>
                <w:sz w:val="1"/>
                <w:szCs w:val="1"/>
                <w:color w:val="auto"/>
              </w:rPr>
            </w:pPr>
          </w:p>
        </w:tc>
        <w:tc>
          <w:tcPr>
            <w:tcW w:w="120" w:type="dxa"/>
            <w:vAlign w:val="bottom"/>
            <w:tcBorders>
              <w:top w:val="single" w:sz="8" w:color="CDFFCC"/>
            </w:tcBorders>
          </w:tcPr>
          <w:p>
            <w:pPr>
              <w:spacing w:after="0" w:line="20" w:lineRule="exact"/>
              <w:rPr>
                <w:sz w:val="1"/>
                <w:szCs w:val="1"/>
                <w:color w:val="auto"/>
              </w:rPr>
            </w:pPr>
          </w:p>
        </w:tc>
        <w:tc>
          <w:tcPr>
            <w:tcW w:w="160" w:type="dxa"/>
            <w:vAlign w:val="bottom"/>
            <w:tcBorders>
              <w:top w:val="single" w:sz="8" w:color="CDFFCC"/>
              <w:bottom w:val="single" w:sz="8" w:color="auto"/>
            </w:tcBorders>
          </w:tcPr>
          <w:p>
            <w:pPr>
              <w:spacing w:after="0" w:line="20" w:lineRule="exact"/>
              <w:rPr>
                <w:sz w:val="1"/>
                <w:szCs w:val="1"/>
                <w:color w:val="auto"/>
              </w:rPr>
            </w:pPr>
          </w:p>
        </w:tc>
        <w:tc>
          <w:tcPr>
            <w:tcW w:w="1260" w:type="dxa"/>
            <w:vAlign w:val="bottom"/>
            <w:tcBorders>
              <w:top w:val="single" w:sz="8" w:color="CDFFCC"/>
              <w:bottom w:val="single" w:sz="8" w:color="auto"/>
            </w:tcBorders>
          </w:tcPr>
          <w:p>
            <w:pPr>
              <w:spacing w:after="0" w:line="20" w:lineRule="exact"/>
              <w:rPr>
                <w:sz w:val="1"/>
                <w:szCs w:val="1"/>
                <w:color w:val="auto"/>
              </w:rPr>
            </w:pPr>
          </w:p>
        </w:tc>
        <w:tc>
          <w:tcPr>
            <w:tcW w:w="100" w:type="dxa"/>
            <w:vAlign w:val="bottom"/>
            <w:tcBorders>
              <w:top w:val="single" w:sz="8" w:color="CDFFCC"/>
            </w:tcBorders>
          </w:tcPr>
          <w:p>
            <w:pPr>
              <w:spacing w:after="0" w:line="20" w:lineRule="exact"/>
              <w:rPr>
                <w:sz w:val="1"/>
                <w:szCs w:val="1"/>
                <w:color w:val="auto"/>
              </w:rPr>
            </w:pPr>
          </w:p>
        </w:tc>
        <w:tc>
          <w:tcPr>
            <w:tcW w:w="320" w:type="dxa"/>
            <w:vAlign w:val="bottom"/>
            <w:tcBorders>
              <w:top w:val="single" w:sz="8" w:color="CDFFCC"/>
              <w:bottom w:val="single" w:sz="8" w:color="auto"/>
            </w:tcBorders>
          </w:tcPr>
          <w:p>
            <w:pPr>
              <w:spacing w:after="0" w:line="20" w:lineRule="exact"/>
              <w:rPr>
                <w:sz w:val="1"/>
                <w:szCs w:val="1"/>
                <w:color w:val="auto"/>
              </w:rPr>
            </w:pPr>
          </w:p>
        </w:tc>
        <w:tc>
          <w:tcPr>
            <w:tcW w:w="800" w:type="dxa"/>
            <w:vAlign w:val="bottom"/>
            <w:tcBorders>
              <w:top w:val="single" w:sz="8" w:color="CDFFCC"/>
              <w:bottom w:val="single" w:sz="8" w:color="auto"/>
            </w:tcBorders>
          </w:tcPr>
          <w:p>
            <w:pPr>
              <w:spacing w:after="0" w:line="20" w:lineRule="exact"/>
              <w:rPr>
                <w:sz w:val="1"/>
                <w:szCs w:val="1"/>
                <w:color w:val="auto"/>
              </w:rPr>
            </w:pPr>
          </w:p>
        </w:tc>
        <w:tc>
          <w:tcPr>
            <w:tcW w:w="200" w:type="dxa"/>
            <w:vAlign w:val="bottom"/>
            <w:tcBorders>
              <w:top w:val="single" w:sz="8" w:color="CDFFCC"/>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241"/>
        <w:spacing w:after="0" w:line="222" w:lineRule="auto"/>
        <w:rPr>
          <w:sz w:val="20"/>
          <w:szCs w:val="20"/>
          <w:color w:val="auto"/>
        </w:rPr>
      </w:pPr>
      <w:r>
        <w:rPr>
          <w:rFonts w:ascii="Times New Roman" w:cs="Times New Roman" w:eastAsia="Times New Roman" w:hAnsi="Times New Roman"/>
          <w:sz w:val="18"/>
          <w:szCs w:val="18"/>
          <w:color w:val="auto"/>
        </w:rPr>
        <w:t>For further details on these alternative investments, see "</w:t>
      </w:r>
      <w:r>
        <w:rPr>
          <w:rFonts w:ascii="Times New Roman" w:cs="Times New Roman" w:eastAsia="Times New Roman" w:hAnsi="Times New Roman"/>
          <w:sz w:val="18"/>
          <w:szCs w:val="18"/>
          <w:i w:val="1"/>
          <w:iCs w:val="1"/>
          <w:color w:val="auto"/>
        </w:rPr>
        <w:t>Notes to Condensed Consolidated Financial Statements: Note 4(b) Other Investments,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and Equity Method Investments" </w:t>
      </w:r>
      <w:r>
        <w:rPr>
          <w:rFonts w:ascii="Times New Roman" w:cs="Times New Roman" w:eastAsia="Times New Roman" w:hAnsi="Times New Roman"/>
          <w:sz w:val="18"/>
          <w:szCs w:val="18"/>
          <w:color w:val="auto"/>
        </w:rPr>
        <w:t>included under Part I Item 1.</w:t>
      </w:r>
      <w:r>
        <w:rPr>
          <w:rFonts w:ascii="Times New Roman" w:cs="Times New Roman" w:eastAsia="Times New Roman" w:hAnsi="Times New Roman"/>
          <w:sz w:val="18"/>
          <w:szCs w:val="18"/>
          <w:i w:val="1"/>
          <w:iCs w:val="1"/>
          <w:color w:val="auto"/>
        </w:rPr>
        <w:t xml:space="preserve"> "Financial Information" </w:t>
      </w:r>
      <w:r>
        <w:rPr>
          <w:rFonts w:ascii="Times New Roman" w:cs="Times New Roman" w:eastAsia="Times New Roman" w:hAnsi="Times New Roman"/>
          <w:sz w:val="18"/>
          <w:szCs w:val="18"/>
          <w:color w:val="auto"/>
        </w:rPr>
        <w:t>of this Report on Form 10-Q. Within these asset classes,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broadly consists of the following types of investments:</w:t>
      </w:r>
    </w:p>
    <w:p>
      <w:pPr>
        <w:spacing w:after="0" w:line="55" w:lineRule="exact"/>
        <w:rPr>
          <w:sz w:val="20"/>
          <w:szCs w:val="20"/>
          <w:color w:val="auto"/>
        </w:rPr>
      </w:pPr>
    </w:p>
    <w:p>
      <w:pPr>
        <w:jc w:val="both"/>
        <w:ind w:left="660" w:firstLine="232"/>
        <w:spacing w:after="0" w:line="223" w:lineRule="auto"/>
        <w:tabs>
          <w:tab w:leader="none" w:pos="12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Equity</w:t>
      </w:r>
      <w:r>
        <w:rPr>
          <w:rFonts w:ascii="Times New Roman" w:cs="Times New Roman" w:eastAsia="Times New Roman" w:hAnsi="Times New Roman"/>
          <w:sz w:val="18"/>
          <w:szCs w:val="18"/>
          <w:color w:val="auto"/>
        </w:rPr>
        <w:t xml:space="preserve"> – this asset class consists of both fund investments with leading private equity sponsors and direct equity investments in private companies, sometimes in conjunction with our private equity fund sponsors. As of June 30, 2025, $2.7 million or 17.7% of investments in the private equity asset class consisted of investments in private equity funds and $12.3 million or 82.3% consisted of direct equity investments in private companies.</w:t>
      </w:r>
    </w:p>
    <w:p>
      <w:pPr>
        <w:spacing w:after="0" w:line="48" w:lineRule="exact"/>
        <w:rPr>
          <w:rFonts w:ascii="Times New Roman" w:cs="Times New Roman" w:eastAsia="Times New Roman" w:hAnsi="Times New Roman"/>
          <w:sz w:val="18"/>
          <w:szCs w:val="18"/>
          <w:color w:val="auto"/>
        </w:rPr>
      </w:pPr>
    </w:p>
    <w:p>
      <w:pPr>
        <w:jc w:val="both"/>
        <w:ind w:left="660" w:firstLine="232"/>
        <w:spacing w:after="0" w:line="221" w:lineRule="auto"/>
        <w:tabs>
          <w:tab w:leader="none" w:pos="12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Credit</w:t>
      </w:r>
      <w:r>
        <w:rPr>
          <w:rFonts w:ascii="Times New Roman" w:cs="Times New Roman" w:eastAsia="Times New Roman" w:hAnsi="Times New Roman"/>
          <w:sz w:val="18"/>
          <w:szCs w:val="18"/>
          <w:color w:val="auto"/>
        </w:rPr>
        <w:t xml:space="preserve"> - this asset class consists of both fund investments with leading private credit sponsors and direct credit investments in private companies, sometimes in conjunction with our private credit fund sponsors. Private credit investments in both funds and on a direct basis will typically be secured lending arrangements with non-rated entities, often with additional protective provisions to enhance the security and returns of these investments. As of June 30, 2025, $1.7 million or 100.0% of the private credit asset class consisted of direct investments in debt securities of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71" w:name="page72"/>
    <w:bookmarkEnd w:id="71"/>
    <w:p>
      <w:pPr>
        <w:jc w:val="both"/>
        <w:ind w:left="660" w:firstLine="232"/>
        <w:spacing w:after="0" w:line="216" w:lineRule="auto"/>
        <w:tabs>
          <w:tab w:leader="none" w:pos="129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Alternatives</w:t>
      </w:r>
      <w:r>
        <w:rPr>
          <w:rFonts w:ascii="Times New Roman" w:cs="Times New Roman" w:eastAsia="Times New Roman" w:hAnsi="Times New Roman"/>
          <w:sz w:val="18"/>
          <w:szCs w:val="18"/>
          <w:color w:val="auto"/>
        </w:rPr>
        <w:t xml:space="preserve"> – this asset class consists of structured financing arrangements which typically have incentive features to enhance the Company’s returns. As part of these arrangements, the Company requires collateral or bankruptcy-remote structures to protect its investments. As of June 30, 2025, $77.0 million or 97.9% of investments in the alternatives asset class were direct investments and $1.7 million or 2.1% of the alternatives asset class were invested in funds. One investment in a collateralized direct lending entity of $50.0 million represents 63.5% of this asset class and is discussed further in </w:t>
      </w:r>
      <w:r>
        <w:rPr>
          <w:rFonts w:ascii="Times New Roman" w:cs="Times New Roman" w:eastAsia="Times New Roman" w:hAnsi="Times New Roman"/>
          <w:sz w:val="18"/>
          <w:szCs w:val="18"/>
          <w:i w:val="1"/>
          <w:iCs w:val="1"/>
          <w:color w:val="auto"/>
        </w:rPr>
        <w:t>"Note 4 — Investments"</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xml:space="preserve"> in this Quarterly Report on Form 10-Q for the six months ended June 30, 2025. Prior to the Combination, Maiden had carried the investment in a collateralized direct lending entity at cost less an allowance for expected credit losses.</w:t>
      </w:r>
    </w:p>
    <w:p>
      <w:pPr>
        <w:spacing w:after="0" w:line="49" w:lineRule="exact"/>
        <w:rPr>
          <w:rFonts w:ascii="Times New Roman" w:cs="Times New Roman" w:eastAsia="Times New Roman" w:hAnsi="Times New Roman"/>
          <w:sz w:val="18"/>
          <w:szCs w:val="18"/>
          <w:b w:val="1"/>
          <w:bCs w:val="1"/>
          <w:color w:val="auto"/>
        </w:rPr>
      </w:pPr>
    </w:p>
    <w:p>
      <w:pPr>
        <w:jc w:val="both"/>
        <w:ind w:left="660" w:firstLine="232"/>
        <w:spacing w:after="0" w:line="218" w:lineRule="auto"/>
        <w:tabs>
          <w:tab w:leader="none" w:pos="1299"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u w:val="single" w:color="auto"/>
          <w:color w:val="auto"/>
        </w:rPr>
        <w:t>Venture Capital</w:t>
      </w:r>
      <w:r>
        <w:rPr>
          <w:rFonts w:ascii="Times New Roman" w:cs="Times New Roman" w:eastAsia="Times New Roman" w:hAnsi="Times New Roman"/>
          <w:sz w:val="18"/>
          <w:szCs w:val="18"/>
          <w:color w:val="auto"/>
        </w:rPr>
        <w:t xml:space="preserve"> – this asset class consists of both fund investments with venture capital firms focused primarily on “insurtech” or “fintech” early-stage investments as well as direct investments in start-up companies in this sector, including equity investments in individual companies made in conjunction with our venture capital fund sponsors. As of June 30, 2025, $12.5 million or 47.2% of investments in the venture capital asset class consisted of investments in funds and $13.9 million or 52.8% consisted of direct equity investments in start-up companies. As of June 30, 2025, $14.7 million or 55.5% of our venture capital investments were invested in funds or companies that would be considered “insurtech” investments.</w:t>
      </w:r>
    </w:p>
    <w:p>
      <w:pPr>
        <w:spacing w:after="0" w:line="51" w:lineRule="exact"/>
        <w:rPr>
          <w:rFonts w:ascii="Times New Roman" w:cs="Times New Roman" w:eastAsia="Times New Roman" w:hAnsi="Times New Roman"/>
          <w:sz w:val="18"/>
          <w:szCs w:val="18"/>
          <w:b w:val="1"/>
          <w:bCs w:val="1"/>
          <w:i w:val="1"/>
          <w:iCs w:val="1"/>
          <w:color w:val="auto"/>
        </w:rPr>
      </w:pPr>
    </w:p>
    <w:p>
      <w:pPr>
        <w:jc w:val="both"/>
        <w:ind w:left="660" w:firstLine="232"/>
        <w:spacing w:after="0" w:line="212" w:lineRule="auto"/>
        <w:tabs>
          <w:tab w:leader="none" w:pos="1300" w:val="left"/>
        </w:tabs>
        <w:numPr>
          <w:ilvl w:val="0"/>
          <w:numId w:val="4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8"/>
          <w:szCs w:val="18"/>
          <w:u w:val="single" w:color="auto"/>
          <w:color w:val="auto"/>
        </w:rPr>
        <w:t>Real Estate</w:t>
      </w:r>
      <w:r>
        <w:rPr>
          <w:rFonts w:ascii="Times New Roman" w:cs="Times New Roman" w:eastAsia="Times New Roman" w:hAnsi="Times New Roman"/>
          <w:sz w:val="18"/>
          <w:szCs w:val="18"/>
          <w:color w:val="auto"/>
        </w:rPr>
        <w:t xml:space="preserve"> – this asset class consists of long-term equity investments in three real estate projects. Two are multi-family residential development projects near major urban centers where workforce housing demand continues to be strong. One investment is a minority stake as a limited partner with a leading property developer with a highly successful track record, where the Company will earn returns from both operating income from rentals and future sales of properties. As of June 30, 2025, the Company has $46.0 million invested in this project and expects investment returns to commence in earnest in 2026 and beyond. The second multi-family residential investment is a majority stake with general partner rights wherein the Company is providing the capital backing to an experienced and successful developer in the subject market, while also taking minority equity stakes in individual projects. To date, this development project has secured five properties in attractive locations and is currently in the zoning and planning stages. As of June 30, 2025, the Company has $33.2 million invested in this project and has commenced earning limited amounts of fee income from this project. As part of its investment, the Company has also provided certain loan guarantees which are discussed in more detail in </w:t>
      </w:r>
      <w:r>
        <w:rPr>
          <w:rFonts w:ascii="Times New Roman" w:cs="Times New Roman" w:eastAsia="Times New Roman" w:hAnsi="Times New Roman"/>
          <w:sz w:val="18"/>
          <w:szCs w:val="18"/>
          <w:i w:val="1"/>
          <w:iCs w:val="1"/>
          <w:color w:val="auto"/>
        </w:rPr>
        <w:t>Note 11 — Commitments, Contingencies and Guarantees</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We expect fee and operating income and gains from future sales of properties to commence in earnest in 2027 and beyond. Finally, the Company has a minority equity stake in an iconic office building in a major city in the U.S., with an attractive and growing tenant roll. As of June 30, 2025, the Company has $5.6 million invested in this project and to date has earned preferred returns and received certain distributions. In addition to preferred returns, the Company expects to receive future distributions of operating income from this investment.</w:t>
      </w:r>
    </w:p>
    <w:p>
      <w:pPr>
        <w:spacing w:after="0" w:line="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Certain of the Company's investments in limited partnerships are related to real estate joint ventures with interests in multi-property projects with varying</w:t>
      </w:r>
    </w:p>
    <w:p>
      <w:pPr>
        <w:spacing w:after="0" w:line="1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For further details on these financial guarantees, please see "</w:t>
      </w:r>
      <w:r>
        <w:rPr>
          <w:rFonts w:ascii="Times New Roman" w:cs="Times New Roman" w:eastAsia="Times New Roman" w:hAnsi="Times New Roman"/>
          <w:sz w:val="17"/>
          <w:szCs w:val="17"/>
          <w:i w:val="1"/>
          <w:iCs w:val="1"/>
          <w:color w:val="auto"/>
        </w:rPr>
        <w:t>Notes to Condensed Consolidated Financial Statements: Note 11 - Commitments, Contingencies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included under Part I Item 1.</w:t>
      </w:r>
      <w:r>
        <w:rPr>
          <w:rFonts w:ascii="Times New Roman" w:cs="Times New Roman" w:eastAsia="Times New Roman" w:hAnsi="Times New Roman"/>
          <w:sz w:val="18"/>
          <w:szCs w:val="18"/>
          <w:i w:val="1"/>
          <w:iCs w:val="1"/>
          <w:color w:val="auto"/>
        </w:rPr>
        <w:t xml:space="preserve"> "Financial Information" </w:t>
      </w:r>
      <w:r>
        <w:rPr>
          <w:rFonts w:ascii="Times New Roman" w:cs="Times New Roman" w:eastAsia="Times New Roman" w:hAnsi="Times New Roman"/>
          <w:sz w:val="18"/>
          <w:szCs w:val="18"/>
          <w:color w:val="auto"/>
        </w:rPr>
        <w:t>of this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investment portfolio returns included in earnings increased to $2.6 million for the three and six months ended June 30, 2025, compared to $0.1</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million for the same respective periods in 2024, largely due to the acquisition of Maiden's AFS and alternative investment portfolios in connection with the Combination. The Company earned unrealized gains on the alternative investment portfolio, as well as interest income on the net loan receivable from related party and the AFS fixed income portfolio.</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investment results for the three and six months ended June 30, 2025 and 2024: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94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680" w:type="dxa"/>
            <w:vAlign w:val="bottom"/>
            <w:tcBorders>
              <w:bottom w:val="single" w:sz="8" w:color="CCFFCC"/>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46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i w:val="1"/>
                <w:iCs w:val="1"/>
                <w:color w:val="auto"/>
              </w:rPr>
              <w:t>Net investment income:</w:t>
            </w: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60"/>
              <w:spacing w:after="0" w:line="228" w:lineRule="exact"/>
              <w:rPr>
                <w:sz w:val="20"/>
                <w:szCs w:val="20"/>
                <w:color w:val="auto"/>
              </w:rPr>
            </w:pPr>
            <w:r>
              <w:rPr>
                <w:rFonts w:ascii="Times New Roman" w:cs="Times New Roman" w:eastAsia="Times New Roman" w:hAnsi="Times New Roman"/>
                <w:sz w:val="18"/>
                <w:szCs w:val="18"/>
                <w:color w:val="auto"/>
              </w:rPr>
              <w:t>Fixed income investments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Cash and restricted cash</w:t>
            </w:r>
          </w:p>
        </w:tc>
        <w:tc>
          <w:tcPr>
            <w:tcW w:w="26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7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8"/>
        </w:trPr>
        <w:tc>
          <w:tcPr>
            <w:tcW w:w="4680" w:type="dxa"/>
            <w:vAlign w:val="bottom"/>
          </w:tcPr>
          <w:p>
            <w:pPr>
              <w:ind w:left="60"/>
              <w:spacing w:after="0" w:line="228" w:lineRule="exact"/>
              <w:rPr>
                <w:sz w:val="20"/>
                <w:szCs w:val="20"/>
                <w:color w:val="auto"/>
              </w:rPr>
            </w:pPr>
            <w:r>
              <w:rPr>
                <w:rFonts w:ascii="Times New Roman" w:cs="Times New Roman" w:eastAsia="Times New Roman" w:hAnsi="Times New Roman"/>
                <w:sz w:val="18"/>
                <w:szCs w:val="18"/>
                <w:color w:val="auto"/>
              </w:rPr>
              <w:t>Other investments, including equities</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Investment expenses</w:t>
            </w:r>
          </w:p>
        </w:tc>
        <w:tc>
          <w:tcPr>
            <w:tcW w:w="26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 net investment income</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4"/>
        </w:trPr>
        <w:tc>
          <w:tcPr>
            <w:tcW w:w="468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3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3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3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realized losses: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Fixed income assets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72"/>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realized losses</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unrealized gains: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60"/>
              <w:spacing w:after="0" w:line="228" w:lineRule="exact"/>
              <w:rPr>
                <w:sz w:val="20"/>
                <w:szCs w:val="20"/>
                <w:color w:val="auto"/>
              </w:rPr>
            </w:pPr>
            <w:r>
              <w:rPr>
                <w:rFonts w:ascii="Times New Roman" w:cs="Times New Roman" w:eastAsia="Times New Roman" w:hAnsi="Times New Roman"/>
                <w:sz w:val="18"/>
                <w:szCs w:val="18"/>
                <w:color w:val="auto"/>
              </w:rPr>
              <w:t>Other investments, including equities</w:t>
            </w:r>
            <w:r>
              <w:rPr>
                <w:rFonts w:ascii="Times New Roman" w:cs="Times New Roman" w:eastAsia="Times New Roman" w:hAnsi="Times New Roman"/>
                <w:sz w:val="23"/>
                <w:szCs w:val="23"/>
                <w:color w:val="auto"/>
                <w:vertAlign w:val="superscript"/>
              </w:rPr>
              <w:t>(4)</w:t>
            </w:r>
          </w:p>
        </w:tc>
        <w:tc>
          <w:tcPr>
            <w:tcW w:w="26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17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FFC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unrealized gains</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FFC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80" w:type="dxa"/>
            <w:vAlign w:val="bottom"/>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spacing w:after="0"/>
              <w:rPr>
                <w:sz w:val="21"/>
                <w:szCs w:val="21"/>
                <w:color w:val="auto"/>
              </w:rPr>
            </w:pPr>
          </w:p>
        </w:tc>
        <w:tc>
          <w:tcPr>
            <w:tcW w:w="1300" w:type="dxa"/>
            <w:vAlign w:val="bottom"/>
            <w:tcBorders>
              <w:bottom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300" w:type="dxa"/>
            <w:vAlign w:val="bottom"/>
            <w:tcBorders>
              <w:bottom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300" w:type="dxa"/>
            <w:vAlign w:val="bottom"/>
            <w:tcBorders>
              <w:bottom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b w:val="1"/>
                <w:bCs w:val="1"/>
                <w:color w:val="auto"/>
              </w:rPr>
              <w:t xml:space="preserve">Total investment return included in earnings </w:t>
            </w:r>
            <w:r>
              <w:rPr>
                <w:rFonts w:ascii="Times New Roman" w:cs="Times New Roman" w:eastAsia="Times New Roman" w:hAnsi="Times New Roman"/>
                <w:sz w:val="25"/>
                <w:szCs w:val="25"/>
                <w:b w:val="1"/>
                <w:bCs w:val="1"/>
                <w:color w:val="auto"/>
                <w:vertAlign w:val="subscript"/>
              </w:rPr>
              <w:t>(A)</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8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20"/>
              <w:spacing w:after="0" w:line="227" w:lineRule="exact"/>
              <w:rPr>
                <w:sz w:val="20"/>
                <w:szCs w:val="20"/>
                <w:color w:val="auto"/>
              </w:rPr>
            </w:pPr>
            <w:r>
              <w:rPr>
                <w:rFonts w:ascii="Times New Roman" w:cs="Times New Roman" w:eastAsia="Times New Roman" w:hAnsi="Times New Roman"/>
                <w:sz w:val="17"/>
                <w:szCs w:val="17"/>
                <w:color w:val="auto"/>
              </w:rPr>
              <w:t xml:space="preserve">Unrealized gains on AFS fixed maturity securities </w:t>
            </w:r>
            <w:r>
              <w:rPr>
                <w:rFonts w:ascii="Times New Roman" w:cs="Times New Roman" w:eastAsia="Times New Roman" w:hAnsi="Times New Roman"/>
                <w:sz w:val="26"/>
                <w:szCs w:val="26"/>
                <w:b w:val="1"/>
                <w:bCs w:val="1"/>
                <w:color w:val="auto"/>
                <w:vertAlign w:val="subscript"/>
              </w:rPr>
              <w:t>(B)</w:t>
            </w:r>
          </w:p>
        </w:tc>
        <w:tc>
          <w:tcPr>
            <w:tcW w:w="26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FFCC"/>
          </w:tcPr>
          <w:p>
            <w:pPr>
              <w:jc w:val="right"/>
              <w:ind w:right="52"/>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return = (A) + (B)</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8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3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Annualized income from fixed income assets</w:t>
            </w:r>
            <w:r>
              <w:rPr>
                <w:rFonts w:ascii="Times New Roman" w:cs="Times New Roman" w:eastAsia="Times New Roman" w:hAnsi="Times New Roman"/>
                <w:sz w:val="23"/>
                <w:szCs w:val="23"/>
                <w:color w:val="auto"/>
                <w:vertAlign w:val="superscript"/>
              </w:rPr>
              <w:t>(2)</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Average aggregate fixed income assets, at cost</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452"/>
              <w:spacing w:after="0"/>
              <w:rPr>
                <w:sz w:val="20"/>
                <w:szCs w:val="20"/>
                <w:color w:val="auto"/>
              </w:rPr>
            </w:pPr>
            <w:r>
              <w:rPr>
                <w:rFonts w:ascii="Times New Roman" w:cs="Times New Roman" w:eastAsia="Times New Roman" w:hAnsi="Times New Roman"/>
                <w:sz w:val="18"/>
                <w:szCs w:val="18"/>
                <w:color w:val="auto"/>
              </w:rPr>
              <w:t>180,988</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632"/>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ind w:right="452"/>
              <w:spacing w:after="0"/>
              <w:rPr>
                <w:sz w:val="20"/>
                <w:szCs w:val="20"/>
                <w:color w:val="auto"/>
              </w:rPr>
            </w:pPr>
            <w:r>
              <w:rPr>
                <w:rFonts w:ascii="Times New Roman" w:cs="Times New Roman" w:eastAsia="Times New Roman" w:hAnsi="Times New Roman"/>
                <w:sz w:val="18"/>
                <w:szCs w:val="18"/>
                <w:color w:val="auto"/>
              </w:rPr>
              <w:t>181,426</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ind w:right="612"/>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Annualized investment book yield</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4.5 %</w:t>
            </w:r>
          </w:p>
        </w:tc>
        <w:tc>
          <w:tcPr>
            <w:tcW w:w="0" w:type="dxa"/>
            <w:vAlign w:val="bottom"/>
          </w:tcPr>
          <w:p>
            <w:pPr>
              <w:spacing w:after="0"/>
              <w:rPr>
                <w:sz w:val="1"/>
                <w:szCs w:val="1"/>
                <w:color w:val="auto"/>
              </w:rPr>
            </w:pPr>
          </w:p>
        </w:tc>
      </w:tr>
      <w:tr>
        <w:trPr>
          <w:trHeight w:val="214"/>
        </w:trPr>
        <w:tc>
          <w:tcPr>
            <w:tcW w:w="4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Average aggregate invested assets, at fair value</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284,462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284,900</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5,270</w:t>
            </w:r>
          </w:p>
        </w:tc>
        <w:tc>
          <w:tcPr>
            <w:tcW w:w="0" w:type="dxa"/>
            <w:vAlign w:val="bottom"/>
          </w:tcPr>
          <w:p>
            <w:pPr>
              <w:spacing w:after="0"/>
              <w:rPr>
                <w:sz w:val="1"/>
                <w:szCs w:val="1"/>
                <w:color w:val="auto"/>
              </w:rPr>
            </w:pPr>
          </w:p>
        </w:tc>
      </w:tr>
      <w:tr>
        <w:trPr>
          <w:trHeight w:val="228"/>
        </w:trPr>
        <w:tc>
          <w:tcPr>
            <w:tcW w:w="4680" w:type="dxa"/>
            <w:vAlign w:val="bottom"/>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return included in net earnings</w:t>
            </w:r>
          </w:p>
        </w:tc>
        <w:tc>
          <w:tcPr>
            <w:tcW w:w="260" w:type="dxa"/>
            <w:vAlign w:val="bottom"/>
            <w:shd w:val="clear" w:color="auto" w:fill="CCFFCC"/>
          </w:tcPr>
          <w:p>
            <w:pPr>
              <w:spacing w:after="0"/>
              <w:rPr>
                <w:sz w:val="19"/>
                <w:szCs w:val="19"/>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return</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60" w:hanging="153"/>
        <w:spacing w:after="0" w:line="249" w:lineRule="auto"/>
        <w:tabs>
          <w:tab w:leader="none" w:pos="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income investments include AFS securities as well as funds withheld receivable, and net loan receivable from related party. Gross and net investment returns for these assets only include the post-Combination period of May 28, 2025 to June 30, 2025.</w:t>
      </w:r>
    </w:p>
    <w:p>
      <w:pPr>
        <w:spacing w:after="0" w:line="1" w:lineRule="exact"/>
        <w:rPr>
          <w:rFonts w:ascii="Times New Roman" w:cs="Times New Roman" w:eastAsia="Times New Roman" w:hAnsi="Times New Roman"/>
          <w:sz w:val="14"/>
          <w:szCs w:val="14"/>
          <w:color w:val="auto"/>
        </w:rPr>
      </w:pPr>
    </w:p>
    <w:p>
      <w:pPr>
        <w:ind w:left="160" w:hanging="153"/>
        <w:spacing w:after="0" w:line="256" w:lineRule="auto"/>
        <w:tabs>
          <w:tab w:leader="none" w:pos="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aggregate fixed income assets include AFS portfolio, cash and restricted cash, funds withheld receivable, and loan to related party and is computed as an average of the amounts disclosed in our quarterly U.S. GAAP consolidated financial statements.</w:t>
      </w:r>
    </w:p>
    <w:p>
      <w:pPr>
        <w:spacing w:after="0" w:line="5" w:lineRule="exact"/>
        <w:rPr>
          <w:rFonts w:ascii="Times New Roman" w:cs="Times New Roman" w:eastAsia="Times New Roman" w:hAnsi="Times New Roman"/>
          <w:sz w:val="14"/>
          <w:szCs w:val="14"/>
          <w:color w:val="auto"/>
        </w:rPr>
      </w:pPr>
    </w:p>
    <w:p>
      <w:pPr>
        <w:ind w:left="160" w:right="20" w:hanging="153"/>
        <w:spacing w:after="0" w:line="238" w:lineRule="auto"/>
        <w:tabs>
          <w:tab w:leader="none" w:pos="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aggregate invested assets include all investments (AFS and alternative investments), cash and restricted cash, loan to related party and funds withheld receivable and is computed as an average of the amounts disclosed in our quarterly U.S. GAAP consolidated financial statements.</w:t>
      </w:r>
    </w:p>
    <w:p>
      <w:pPr>
        <w:spacing w:after="0" w:line="15" w:lineRule="exact"/>
        <w:rPr>
          <w:rFonts w:ascii="Times New Roman" w:cs="Times New Roman" w:eastAsia="Times New Roman" w:hAnsi="Times New Roman"/>
          <w:sz w:val="14"/>
          <w:szCs w:val="14"/>
          <w:color w:val="auto"/>
        </w:rPr>
      </w:pPr>
    </w:p>
    <w:p>
      <w:pPr>
        <w:ind w:left="160" w:hanging="153"/>
        <w:spacing w:after="0"/>
        <w:tabs>
          <w:tab w:leader="none" w:pos="1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and net investment returns for other investments, including equities, only include the post-Combination period of May 28, 2025 to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73" w:name="page74"/>
    <w:bookmarkEnd w:id="73"/>
    <w:p>
      <w:pPr>
        <w:ind w:left="240"/>
        <w:spacing w:after="0"/>
        <w:rPr>
          <w:sz w:val="20"/>
          <w:szCs w:val="20"/>
          <w:color w:val="auto"/>
        </w:rPr>
      </w:pPr>
      <w:r>
        <w:rPr>
          <w:rFonts w:ascii="Times New Roman" w:cs="Times New Roman" w:eastAsia="Times New Roman" w:hAnsi="Times New Roman"/>
          <w:sz w:val="18"/>
          <w:szCs w:val="18"/>
          <w:color w:val="auto"/>
        </w:rPr>
        <w:t>The following table details total investment returns for our fixed income investments for the three and six months ended June 30, 2025 and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Fixed Income Investments</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2"/>
                <w:szCs w:val="22"/>
                <w:color w:val="auto"/>
              </w:rPr>
            </w:pPr>
          </w:p>
        </w:tc>
        <w:tc>
          <w:tcPr>
            <w:tcW w:w="30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22"/>
                <w:szCs w:val="22"/>
                <w:color w:val="auto"/>
              </w:rPr>
            </w:pPr>
          </w:p>
        </w:tc>
        <w:tc>
          <w:tcPr>
            <w:tcW w:w="28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88"/>
        </w:trPr>
        <w:tc>
          <w:tcPr>
            <w:tcW w:w="466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FFC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FFC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FFCC"/>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7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8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r>
      <w:tr>
        <w:trPr>
          <w:trHeight w:val="22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realized gains</w:t>
            </w:r>
          </w:p>
        </w:tc>
        <w:tc>
          <w:tcPr>
            <w:tcW w:w="2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760" w:type="dxa"/>
            <w:vAlign w:val="bottom"/>
            <w:gridSpan w:val="2"/>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Change in AOCI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FFCC"/>
          </w:tcPr>
          <w:p>
            <w:pPr>
              <w:spacing w:after="0"/>
              <w:rPr>
                <w:sz w:val="19"/>
                <w:szCs w:val="19"/>
                <w:color w:val="auto"/>
              </w:rPr>
            </w:pPr>
          </w:p>
        </w:tc>
        <w:tc>
          <w:tcPr>
            <w:tcW w:w="122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60" w:type="dxa"/>
            <w:vAlign w:val="bottom"/>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investment returns</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2,691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2,725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46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2"/>
        </w:trPr>
        <w:tc>
          <w:tcPr>
            <w:tcW w:w="4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r>
      <w:tr>
        <w:trPr>
          <w:trHeight w:val="228"/>
        </w:trPr>
        <w:tc>
          <w:tcPr>
            <w:tcW w:w="476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Average invested assets, at fair value </w:t>
            </w:r>
            <w:r>
              <w:rPr>
                <w:rFonts w:ascii="Times New Roman" w:cs="Times New Roman" w:eastAsia="Times New Roman" w:hAnsi="Times New Roman"/>
                <w:sz w:val="23"/>
                <w:szCs w:val="23"/>
                <w:color w:val="auto"/>
                <w:vertAlign w:val="superscript"/>
              </w:rPr>
              <w:t>(4)</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181,228</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181,665</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5,270</w:t>
            </w:r>
          </w:p>
        </w:tc>
      </w:tr>
      <w:tr>
        <w:trPr>
          <w:trHeight w:val="255"/>
        </w:trPr>
        <w:tc>
          <w:tcPr>
            <w:tcW w:w="46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2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2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r>
      <w:tr>
        <w:trPr>
          <w:trHeight w:val="22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Investment Returns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r>
      <w:tr>
        <w:trPr>
          <w:trHeight w:val="255"/>
        </w:trPr>
        <w:tc>
          <w:tcPr>
            <w:tcW w:w="46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12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2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60" w:type="dxa"/>
            <w:vAlign w:val="bottom"/>
            <w:shd w:val="clear" w:color="auto" w:fill="CCFFCC"/>
          </w:tcPr>
          <w:p>
            <w:pPr>
              <w:spacing w:after="0"/>
              <w:rPr>
                <w:sz w:val="22"/>
                <w:szCs w:val="22"/>
                <w:color w:val="auto"/>
              </w:rPr>
            </w:pPr>
          </w:p>
        </w:tc>
      </w:tr>
      <w:tr>
        <w:trPr>
          <w:trHeight w:val="228"/>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Investment expenses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4760" w:type="dxa"/>
            <w:vAlign w:val="bottom"/>
            <w:tcBorders>
              <w:top w:val="single" w:sz="8" w:color="CCFFCC"/>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returns</w:t>
            </w:r>
          </w:p>
        </w:tc>
        <w:tc>
          <w:tcPr>
            <w:tcW w:w="280" w:type="dxa"/>
            <w:vAlign w:val="bottom"/>
            <w:tcBorders>
              <w:top w:val="single" w:sz="8" w:color="auto"/>
              <w:bottom w:val="single" w:sz="8" w:color="auto"/>
            </w:tcBorders>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360" w:type="dxa"/>
            <w:vAlign w:val="bottom"/>
            <w:tcBorders>
              <w:top w:val="single" w:sz="8" w:color="auto"/>
              <w:bottom w:val="single" w:sz="8" w:color="auto"/>
            </w:tcBorders>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20" w:type="dxa"/>
            <w:vAlign w:val="bottom"/>
            <w:tcBorders>
              <w:top w:val="single" w:sz="8" w:color="auto"/>
              <w:bottom w:val="single" w:sz="8" w:color="auto"/>
            </w:tcBorders>
            <w:shd w:val="clear" w:color="auto" w:fill="CCFFC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360" w:type="dxa"/>
            <w:vAlign w:val="bottom"/>
            <w:tcBorders>
              <w:top w:val="single" w:sz="8" w:color="auto"/>
              <w:bottom w:val="single" w:sz="8" w:color="auto"/>
            </w:tcBorders>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FFCC"/>
          </w:tcPr>
          <w:p>
            <w:pPr>
              <w:jc w:val="right"/>
              <w:ind w:right="152"/>
              <w:spacing w:after="0"/>
              <w:rPr>
                <w:sz w:val="20"/>
                <w:szCs w:val="20"/>
                <w:color w:val="auto"/>
              </w:rPr>
            </w:pPr>
            <w:r>
              <w:rPr>
                <w:rFonts w:ascii="Times New Roman" w:cs="Times New Roman" w:eastAsia="Times New Roman" w:hAnsi="Times New Roman"/>
                <w:sz w:val="18"/>
                <w:szCs w:val="18"/>
                <w:color w:val="auto"/>
              </w:rPr>
              <w:t>118</w:t>
            </w:r>
          </w:p>
        </w:tc>
      </w:tr>
      <w:tr>
        <w:trPr>
          <w:trHeight w:val="20"/>
        </w:trPr>
        <w:tc>
          <w:tcPr>
            <w:tcW w:w="46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CCFFCC"/>
              <w:bottom w:val="single" w:sz="8" w:color="auto"/>
            </w:tcBorders>
          </w:tcPr>
          <w:p>
            <w:pPr>
              <w:spacing w:after="0" w:line="20" w:lineRule="exact"/>
              <w:rPr>
                <w:sz w:val="1"/>
                <w:szCs w:val="1"/>
                <w:color w:val="auto"/>
              </w:rPr>
            </w:pPr>
          </w:p>
        </w:tc>
        <w:tc>
          <w:tcPr>
            <w:tcW w:w="126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bottom w:val="single" w:sz="8" w:color="auto"/>
            </w:tcBorders>
          </w:tcPr>
          <w:p>
            <w:pPr>
              <w:spacing w:after="0" w:line="20" w:lineRule="exact"/>
              <w:rPr>
                <w:sz w:val="1"/>
                <w:szCs w:val="1"/>
                <w:color w:val="auto"/>
              </w:rPr>
            </w:pPr>
          </w:p>
        </w:tc>
        <w:tc>
          <w:tcPr>
            <w:tcW w:w="12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60" w:type="dxa"/>
            <w:vAlign w:val="bottom"/>
            <w:tcBorders>
              <w:top w:val="single" w:sz="8" w:color="CCFFCC"/>
              <w:bottom w:val="single" w:sz="8" w:color="auto"/>
            </w:tcBorders>
          </w:tcPr>
          <w:p>
            <w:pPr>
              <w:spacing w:after="0" w:line="20" w:lineRule="exact"/>
              <w:rPr>
                <w:sz w:val="1"/>
                <w:szCs w:val="1"/>
                <w:color w:val="auto"/>
              </w:rPr>
            </w:pPr>
          </w:p>
        </w:tc>
        <w:tc>
          <w:tcPr>
            <w:tcW w:w="1160" w:type="dxa"/>
            <w:vAlign w:val="bottom"/>
            <w:tcBorders>
              <w:top w:val="single" w:sz="8" w:color="CCFFCC"/>
              <w:bottom w:val="single" w:sz="8" w:color="auto"/>
            </w:tcBorders>
          </w:tcPr>
          <w:p>
            <w:pPr>
              <w:spacing w:after="0" w:line="20" w:lineRule="exact"/>
              <w:rPr>
                <w:sz w:val="1"/>
                <w:szCs w:val="1"/>
                <w:color w:val="auto"/>
              </w:rPr>
            </w:pPr>
          </w:p>
        </w:tc>
      </w:tr>
      <w:tr>
        <w:trPr>
          <w:trHeight w:val="202"/>
        </w:trPr>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8"/>
        </w:trPr>
        <w:tc>
          <w:tcPr>
            <w:tcW w:w="47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Returns</w:t>
            </w:r>
          </w:p>
        </w:tc>
        <w:tc>
          <w:tcPr>
            <w:tcW w:w="280" w:type="dxa"/>
            <w:vAlign w:val="bottom"/>
            <w:shd w:val="clear" w:color="auto" w:fill="CCFFCC"/>
          </w:tcPr>
          <w:p>
            <w:pPr>
              <w:spacing w:after="0"/>
              <w:rPr>
                <w:sz w:val="19"/>
                <w:szCs w:val="19"/>
                <w:color w:val="auto"/>
              </w:rPr>
            </w:pPr>
          </w:p>
        </w:tc>
        <w:tc>
          <w:tcPr>
            <w:tcW w:w="12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1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r>
    </w:tbl>
    <w:p>
      <w:pPr>
        <w:spacing w:after="0" w:line="16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Our net investment returns increased to 1.5% for the three and six months ended June 30, 2025, compared to 1.1% and 2.2% for the respective periods in 2024. The floating rate investments comprise 49.0% of our fixed income investments at June 30, 2025. The net loan receivable from related party had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net balance of $107.5 million at June 30, 2025 and the average yield on the loan was 5.8% for the three and six months ended June 30, 2025.</w:t>
      </w:r>
    </w:p>
    <w:p>
      <w:pPr>
        <w:spacing w:after="0" w:line="53"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Notes to Condensed Consolidated Financial Statements - Note 4 — Investments</w:t>
      </w:r>
      <w:r>
        <w:rPr>
          <w:rFonts w:ascii="Times New Roman" w:cs="Times New Roman" w:eastAsia="Times New Roman" w:hAnsi="Times New Roman"/>
          <w:sz w:val="17"/>
          <w:szCs w:val="17"/>
          <w:color w:val="auto"/>
        </w:rPr>
        <w:t>" included under Part I, Item 1 "</w:t>
      </w:r>
      <w:r>
        <w:rPr>
          <w:rFonts w:ascii="Times New Roman" w:cs="Times New Roman" w:eastAsia="Times New Roman" w:hAnsi="Times New Roman"/>
          <w:sz w:val="17"/>
          <w:szCs w:val="17"/>
          <w:i w:val="1"/>
          <w:iCs w:val="1"/>
          <w:color w:val="auto"/>
        </w:rPr>
        <w:t>Financial Information"</w:t>
      </w:r>
      <w:r>
        <w:rPr>
          <w:rFonts w:ascii="Times New Roman" w:cs="Times New Roman" w:eastAsia="Times New Roman" w:hAnsi="Times New Roman"/>
          <w:sz w:val="17"/>
          <w:szCs w:val="17"/>
          <w:color w:val="auto"/>
        </w:rPr>
        <w:t xml:space="preserve"> of this Quarterly Report on Form 10-Q for further detail on investment returns from fixed income investments held by the Company at June 30, 2025 and 2024.</w:t>
      </w:r>
    </w:p>
    <w:p>
      <w:pPr>
        <w:spacing w:after="0" w:line="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total investment returns for our alternative investments for the three and six months ended June 30, 2025,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Alternative Investments</w:t>
            </w:r>
            <w:r>
              <w:rPr>
                <w:rFonts w:ascii="Times New Roman" w:cs="Times New Roman" w:eastAsia="Times New Roman" w:hAnsi="Times New Roman"/>
                <w:sz w:val="23"/>
                <w:szCs w:val="23"/>
                <w:b w:val="1"/>
                <w:bCs w:val="1"/>
                <w:color w:val="auto"/>
                <w:vertAlign w:val="superscript"/>
              </w:rPr>
              <w:t>(2)</w:t>
            </w:r>
          </w:p>
        </w:tc>
        <w:tc>
          <w:tcPr>
            <w:tcW w:w="120" w:type="dxa"/>
            <w:vAlign w:val="bottom"/>
          </w:tcPr>
          <w:p>
            <w:pPr>
              <w:spacing w:after="0"/>
              <w:rPr>
                <w:sz w:val="13"/>
                <w:szCs w:val="13"/>
                <w:color w:val="auto"/>
              </w:rPr>
            </w:pPr>
          </w:p>
        </w:tc>
        <w:tc>
          <w:tcPr>
            <w:tcW w:w="14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For the Three and Six</w:t>
            </w:r>
          </w:p>
        </w:tc>
        <w:tc>
          <w:tcPr>
            <w:tcW w:w="0" w:type="dxa"/>
            <w:vAlign w:val="bottom"/>
          </w:tcPr>
          <w:p>
            <w:pPr>
              <w:spacing w:after="0"/>
              <w:rPr>
                <w:sz w:val="1"/>
                <w:szCs w:val="1"/>
                <w:color w:val="auto"/>
              </w:rPr>
            </w:pPr>
          </w:p>
        </w:tc>
      </w:tr>
      <w:tr>
        <w:trPr>
          <w:trHeight w:val="199"/>
        </w:trPr>
        <w:tc>
          <w:tcPr>
            <w:tcW w:w="9640" w:type="dxa"/>
            <w:vAlign w:val="bottom"/>
            <w:gridSpan w:val="2"/>
            <w:vMerge w:val="continue"/>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 June 30,</w:t>
            </w:r>
          </w:p>
        </w:tc>
        <w:tc>
          <w:tcPr>
            <w:tcW w:w="0" w:type="dxa"/>
            <w:vAlign w:val="bottom"/>
          </w:tcPr>
          <w:p>
            <w:pPr>
              <w:spacing w:after="0"/>
              <w:rPr>
                <w:sz w:val="1"/>
                <w:szCs w:val="1"/>
                <w:color w:val="auto"/>
              </w:rPr>
            </w:pPr>
          </w:p>
        </w:tc>
      </w:tr>
      <w:tr>
        <w:trPr>
          <w:trHeight w:val="188"/>
        </w:trPr>
        <w:tc>
          <w:tcPr>
            <w:tcW w:w="9540" w:type="dxa"/>
            <w:vAlign w:val="bottom"/>
            <w:tcBorders>
              <w:top w:val="single" w:sz="8" w:color="auto"/>
              <w:bottom w:val="single" w:sz="8" w:color="CCFFCC"/>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 w:type="dxa"/>
            <w:vAlign w:val="bottom"/>
            <w:tcBorders>
              <w:bottom w:val="single" w:sz="8" w:color="CCFFCC"/>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8"/>
        </w:trPr>
        <w:tc>
          <w:tcPr>
            <w:tcW w:w="96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8"/>
        </w:trPr>
        <w:tc>
          <w:tcPr>
            <w:tcW w:w="9640" w:type="dxa"/>
            <w:vAlign w:val="bottom"/>
            <w:tcBorders>
              <w:bottom w:val="single" w:sz="8" w:color="CCFFC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unrealized gains</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6"/>
        </w:trPr>
        <w:tc>
          <w:tcPr>
            <w:tcW w:w="9640" w:type="dxa"/>
            <w:vAlign w:val="bottom"/>
            <w:tcBorders>
              <w:bottom w:val="single" w:sz="8" w:color="CCFFCC"/>
            </w:tcBorders>
            <w:gridSpan w:val="2"/>
            <w:shd w:val="clear" w:color="auto" w:fill="CCFFCC"/>
          </w:tcPr>
          <w:p>
            <w:pPr>
              <w:ind w:left="20"/>
              <w:spacing w:after="0" w:line="221" w:lineRule="exact"/>
              <w:rPr>
                <w:sz w:val="20"/>
                <w:szCs w:val="20"/>
                <w:color w:val="auto"/>
              </w:rPr>
            </w:pPr>
            <w:r>
              <w:rPr>
                <w:rFonts w:ascii="Times New Roman" w:cs="Times New Roman" w:eastAsia="Times New Roman" w:hAnsi="Times New Roman"/>
                <w:sz w:val="18"/>
                <w:szCs w:val="18"/>
                <w:color w:val="auto"/>
              </w:rPr>
              <w:t>Gross investment returns</w:t>
            </w:r>
            <w:r>
              <w:rPr>
                <w:rFonts w:ascii="Times New Roman" w:cs="Times New Roman" w:eastAsia="Times New Roman" w:hAnsi="Times New Roman"/>
                <w:sz w:val="23"/>
                <w:szCs w:val="23"/>
                <w:color w:val="auto"/>
                <w:vertAlign w:val="superscript"/>
              </w:rPr>
              <w:t>(5)</w:t>
            </w: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
        </w:trPr>
        <w:tc>
          <w:tcPr>
            <w:tcW w:w="95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bottom w:val="single" w:sz="8" w:color="auto"/>
            </w:tcBorders>
          </w:tcPr>
          <w:p>
            <w:pPr>
              <w:spacing w:after="0" w:line="20" w:lineRule="exact"/>
              <w:rPr>
                <w:sz w:val="1"/>
                <w:szCs w:val="1"/>
                <w:color w:val="auto"/>
              </w:rPr>
            </w:pPr>
          </w:p>
        </w:tc>
        <w:tc>
          <w:tcPr>
            <w:tcW w:w="14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640" w:type="dxa"/>
            <w:vAlign w:val="bottom"/>
            <w:gridSpan w:val="2"/>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Average invested assets, at fair value </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8"/>
                <w:szCs w:val="18"/>
                <w:color w:val="auto"/>
              </w:rPr>
              <w:t>103,235</w:t>
            </w:r>
          </w:p>
        </w:tc>
        <w:tc>
          <w:tcPr>
            <w:tcW w:w="0" w:type="dxa"/>
            <w:vAlign w:val="bottom"/>
          </w:tcPr>
          <w:p>
            <w:pPr>
              <w:spacing w:after="0"/>
              <w:rPr>
                <w:sz w:val="1"/>
                <w:szCs w:val="1"/>
                <w:color w:val="auto"/>
              </w:rPr>
            </w:pPr>
          </w:p>
        </w:tc>
      </w:tr>
      <w:tr>
        <w:trPr>
          <w:trHeight w:val="255"/>
        </w:trPr>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9640" w:type="dxa"/>
            <w:vAlign w:val="bottom"/>
            <w:gridSpan w:val="2"/>
            <w:shd w:val="clear" w:color="auto" w:fill="CCFFCC"/>
          </w:tcPr>
          <w:p>
            <w:pPr>
              <w:ind w:left="20"/>
              <w:spacing w:after="0" w:line="228" w:lineRule="exact"/>
              <w:rPr>
                <w:sz w:val="20"/>
                <w:szCs w:val="20"/>
                <w:color w:val="auto"/>
              </w:rPr>
            </w:pPr>
            <w:r>
              <w:rPr>
                <w:rFonts w:ascii="Times New Roman" w:cs="Times New Roman" w:eastAsia="Times New Roman" w:hAnsi="Times New Roman"/>
                <w:sz w:val="18"/>
                <w:szCs w:val="18"/>
                <w:b w:val="1"/>
                <w:bCs w:val="1"/>
                <w:color w:val="auto"/>
              </w:rPr>
              <w:t>Gross Investment Returns</w:t>
            </w:r>
            <w:r>
              <w:rPr>
                <w:rFonts w:ascii="Times New Roman" w:cs="Times New Roman" w:eastAsia="Times New Roman" w:hAnsi="Times New Roman"/>
                <w:sz w:val="23"/>
                <w:szCs w:val="23"/>
                <w:b w:val="1"/>
                <w:bCs w:val="1"/>
                <w:color w:val="auto"/>
                <w:vertAlign w:val="superscript"/>
              </w:rPr>
              <w:t>(5)</w:t>
            </w:r>
          </w:p>
        </w:tc>
        <w:tc>
          <w:tcPr>
            <w:tcW w:w="120" w:type="dxa"/>
            <w:vAlign w:val="bottom"/>
            <w:shd w:val="clear" w:color="auto" w:fill="CCFFCC"/>
          </w:tcPr>
          <w:p>
            <w:pPr>
              <w:spacing w:after="0"/>
              <w:rPr>
                <w:sz w:val="19"/>
                <w:szCs w:val="19"/>
                <w:color w:val="auto"/>
              </w:rPr>
            </w:pPr>
          </w:p>
        </w:tc>
        <w:tc>
          <w:tcPr>
            <w:tcW w:w="14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0" w:type="dxa"/>
            <w:vAlign w:val="bottom"/>
          </w:tcPr>
          <w:p>
            <w:pPr>
              <w:spacing w:after="0"/>
              <w:rPr>
                <w:sz w:val="1"/>
                <w:szCs w:val="1"/>
                <w:color w:val="auto"/>
              </w:rPr>
            </w:pPr>
          </w:p>
        </w:tc>
      </w:tr>
      <w:tr>
        <w:trPr>
          <w:trHeight w:val="255"/>
        </w:trPr>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96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Less: Investment expenses</w:t>
            </w:r>
          </w:p>
        </w:tc>
        <w:tc>
          <w:tcPr>
            <w:tcW w:w="1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FFCC"/>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investment returns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
        </w:trPr>
        <w:tc>
          <w:tcPr>
            <w:tcW w:w="954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Returns</w:t>
            </w:r>
            <w:r>
              <w:rPr>
                <w:rFonts w:ascii="Times New Roman" w:cs="Times New Roman" w:eastAsia="Times New Roman" w:hAnsi="Times New Roman"/>
                <w:sz w:val="23"/>
                <w:szCs w:val="23"/>
                <w:b w:val="1"/>
                <w:bCs w:val="1"/>
                <w:color w:val="auto"/>
                <w:vertAlign w:val="superscript"/>
              </w:rPr>
              <w:t>(5)</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60" w:hanging="153"/>
        <w:spacing w:after="0"/>
        <w:tabs>
          <w:tab w:leader="none" w:pos="160" w:val="left"/>
        </w:tabs>
        <w:numPr>
          <w:ilvl w:val="0"/>
          <w:numId w:val="4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Fixed income investments includes AFS securities as well as cash, restricted cash, funds withheld receivable, and loan to related party.</w:t>
      </w:r>
    </w:p>
    <w:p>
      <w:pPr>
        <w:spacing w:after="0" w:line="26" w:lineRule="exact"/>
        <w:rPr>
          <w:rFonts w:ascii="Times New Roman" w:cs="Times New Roman" w:eastAsia="Times New Roman" w:hAnsi="Times New Roman"/>
          <w:sz w:val="14"/>
          <w:szCs w:val="14"/>
          <w:b w:val="1"/>
          <w:bCs w:val="1"/>
          <w:i w:val="1"/>
          <w:iCs w:val="1"/>
          <w:color w:val="auto"/>
        </w:rPr>
      </w:pPr>
    </w:p>
    <w:p>
      <w:pPr>
        <w:ind w:left="160" w:hanging="153"/>
        <w:spacing w:after="0"/>
        <w:tabs>
          <w:tab w:leader="none" w:pos="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investments includes other investments, equity securities, and equity method investments.</w:t>
      </w:r>
    </w:p>
    <w:p>
      <w:pPr>
        <w:spacing w:after="0" w:line="40" w:lineRule="exact"/>
        <w:rPr>
          <w:rFonts w:ascii="Times New Roman" w:cs="Times New Roman" w:eastAsia="Times New Roman" w:hAnsi="Times New Roman"/>
          <w:sz w:val="14"/>
          <w:szCs w:val="14"/>
          <w:color w:val="auto"/>
        </w:rPr>
      </w:pPr>
    </w:p>
    <w:p>
      <w:pPr>
        <w:ind w:left="160" w:hanging="153"/>
        <w:spacing w:after="0"/>
        <w:tabs>
          <w:tab w:leader="none" w:pos="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accumulated other comprehensive income ("AOCI") excludes unrealized foreign exchange gains and losses.</w:t>
      </w:r>
    </w:p>
    <w:p>
      <w:pPr>
        <w:spacing w:after="0" w:line="40" w:lineRule="exact"/>
        <w:rPr>
          <w:rFonts w:ascii="Times New Roman" w:cs="Times New Roman" w:eastAsia="Times New Roman" w:hAnsi="Times New Roman"/>
          <w:sz w:val="14"/>
          <w:szCs w:val="14"/>
          <w:color w:val="auto"/>
        </w:rPr>
      </w:pPr>
    </w:p>
    <w:p>
      <w:pPr>
        <w:ind w:left="160" w:hanging="153"/>
        <w:spacing w:after="0"/>
        <w:tabs>
          <w:tab w:leader="none" w:pos="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invested assets is the average of the amounts disclosed in our quarterly U.S. GAAP consolidated financial statements.</w:t>
      </w:r>
    </w:p>
    <w:p>
      <w:pPr>
        <w:spacing w:after="0" w:line="26" w:lineRule="exact"/>
        <w:rPr>
          <w:rFonts w:ascii="Times New Roman" w:cs="Times New Roman" w:eastAsia="Times New Roman" w:hAnsi="Times New Roman"/>
          <w:sz w:val="14"/>
          <w:szCs w:val="14"/>
          <w:color w:val="auto"/>
        </w:rPr>
      </w:pPr>
    </w:p>
    <w:p>
      <w:pPr>
        <w:ind w:left="160" w:hanging="153"/>
        <w:spacing w:after="0"/>
        <w:tabs>
          <w:tab w:leader="none" w:pos="1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and net investment returns for alternative investments only include the post-Combination period of May 28, 2025 to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4" w:name="page75"/>
    <w:bookmarkEnd w:id="74"/>
    <w:p>
      <w:pPr>
        <w:ind w:left="240"/>
        <w:spacing w:after="0"/>
        <w:rPr>
          <w:sz w:val="20"/>
          <w:szCs w:val="20"/>
          <w:color w:val="auto"/>
        </w:rPr>
      </w:pPr>
      <w:r>
        <w:rPr>
          <w:rFonts w:ascii="Times New Roman" w:cs="Times New Roman" w:eastAsia="Times New Roman" w:hAnsi="Times New Roman"/>
          <w:sz w:val="18"/>
          <w:szCs w:val="18"/>
          <w:color w:val="auto"/>
        </w:rPr>
        <w:t>The following table details total investment returns for alternative investments by asset class at June 30, 2025: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Private Equity</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Private Credit</w:t>
            </w: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Alternative</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Venture Capital</w:t>
            </w:r>
          </w:p>
        </w:tc>
        <w:tc>
          <w:tcPr>
            <w:tcW w:w="160" w:type="dxa"/>
            <w:vAlign w:val="bottom"/>
          </w:tcPr>
          <w:p>
            <w:pPr>
              <w:spacing w:after="0"/>
              <w:rPr>
                <w:sz w:val="16"/>
                <w:szCs w:val="16"/>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w:t>
            </w:r>
          </w:p>
        </w:tc>
        <w:tc>
          <w:tcPr>
            <w:tcW w:w="300" w:type="dxa"/>
            <w:vAlign w:val="bottom"/>
          </w:tcPr>
          <w:p>
            <w:pPr>
              <w:spacing w:after="0"/>
              <w:rPr>
                <w:sz w:val="16"/>
                <w:szCs w:val="16"/>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360" w:type="dxa"/>
            <w:vAlign w:val="bottom"/>
            <w:gridSpan w:val="2"/>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8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 in thousands)</w:t>
            </w: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3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2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FFC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FFCC"/>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FFC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8"/>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w:t>
            </w:r>
          </w:p>
        </w:tc>
        <w:tc>
          <w:tcPr>
            <w:tcW w:w="2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center"/>
              <w:ind w:left="291"/>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6"/>
        </w:trPr>
        <w:tc>
          <w:tcPr>
            <w:tcW w:w="3360" w:type="dxa"/>
            <w:vAlign w:val="bottom"/>
            <w:tcBorders>
              <w:top w:val="single" w:sz="8" w:color="CCFFCC"/>
              <w:bottom w:val="single" w:sz="8" w:color="CCFFCC"/>
            </w:tcBorders>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Return</w:t>
            </w:r>
          </w:p>
        </w:tc>
        <w:tc>
          <w:tcPr>
            <w:tcW w:w="220" w:type="dxa"/>
            <w:vAlign w:val="bottom"/>
            <w:tcBorders>
              <w:top w:val="single" w:sz="8" w:color="auto"/>
              <w:bottom w:val="single" w:sz="8" w:color="auto"/>
            </w:tcBorders>
            <w:shd w:val="clear" w:color="auto" w:fill="CCFFC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auto"/>
            </w:tcBorders>
            <w:shd w:val="clear" w:color="auto" w:fill="CCFFC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FFCC"/>
          </w:tcPr>
          <w:p>
            <w:pPr>
              <w:jc w:val="center"/>
              <w:ind w:left="391"/>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FFCC"/>
          </w:tcPr>
          <w:p>
            <w:pPr>
              <w:jc w:val="right"/>
              <w:ind w:right="35"/>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560" w:type="dxa"/>
            <w:vAlign w:val="bottom"/>
            <w:tcBorders>
              <w:top w:val="single" w:sz="8" w:color="auto"/>
              <w:bottom w:val="single" w:sz="8" w:color="auto"/>
            </w:tcBorders>
            <w:shd w:val="clear" w:color="auto" w:fill="CCFFCC"/>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300" w:type="dxa"/>
            <w:vAlign w:val="bottom"/>
            <w:tcBorders>
              <w:top w:val="single" w:sz="8" w:color="auto"/>
              <w:bottom w:val="single" w:sz="8" w:color="auto"/>
            </w:tcBorders>
            <w:shd w:val="clear" w:color="auto" w:fill="CCFFC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
        </w:trPr>
        <w:tc>
          <w:tcPr>
            <w:tcW w:w="32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9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9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560" w:type="dxa"/>
            <w:vAlign w:val="bottom"/>
            <w:tcBorders>
              <w:top w:val="single" w:sz="8" w:color="CCFFCC"/>
              <w:bottom w:val="single" w:sz="8" w:color="auto"/>
            </w:tcBorders>
          </w:tcPr>
          <w:p>
            <w:pPr>
              <w:spacing w:after="0" w:line="20" w:lineRule="exact"/>
              <w:rPr>
                <w:sz w:val="1"/>
                <w:szCs w:val="1"/>
                <w:color w:val="auto"/>
              </w:rPr>
            </w:pPr>
          </w:p>
        </w:tc>
        <w:tc>
          <w:tcPr>
            <w:tcW w:w="70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bottom w:val="single" w:sz="8" w:color="auto"/>
            </w:tcBorders>
          </w:tcPr>
          <w:p>
            <w:pPr>
              <w:spacing w:after="0" w:line="20" w:lineRule="exact"/>
              <w:rPr>
                <w:sz w:val="1"/>
                <w:szCs w:val="1"/>
                <w:color w:val="auto"/>
              </w:rPr>
            </w:pPr>
          </w:p>
        </w:tc>
        <w:tc>
          <w:tcPr>
            <w:tcW w:w="104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CCFFCC"/>
              <w:bottom w:val="single" w:sz="8" w:color="auto"/>
            </w:tcBorders>
          </w:tcPr>
          <w:p>
            <w:pPr>
              <w:spacing w:after="0" w:line="20" w:lineRule="exact"/>
              <w:rPr>
                <w:sz w:val="1"/>
                <w:szCs w:val="1"/>
                <w:color w:val="auto"/>
              </w:rPr>
            </w:pPr>
          </w:p>
        </w:tc>
        <w:tc>
          <w:tcPr>
            <w:tcW w:w="98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Average Investments</w:t>
            </w:r>
          </w:p>
        </w:tc>
        <w:tc>
          <w:tcPr>
            <w:tcW w:w="22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251"/>
              <w:spacing w:after="0"/>
              <w:rPr>
                <w:sz w:val="20"/>
                <w:szCs w:val="20"/>
                <w:color w:val="auto"/>
              </w:rPr>
            </w:pPr>
            <w:r>
              <w:rPr>
                <w:rFonts w:ascii="Times New Roman" w:cs="Times New Roman" w:eastAsia="Times New Roman" w:hAnsi="Times New Roman"/>
                <w:sz w:val="18"/>
                <w:szCs w:val="18"/>
                <w:color w:val="auto"/>
              </w:rPr>
              <w:t>$7,471</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900" w:type="dxa"/>
            <w:vAlign w:val="bottom"/>
            <w:shd w:val="clear" w:color="auto" w:fill="CCFFCC"/>
          </w:tcPr>
          <w:p>
            <w:pPr>
              <w:jc w:val="right"/>
              <w:ind w:right="311"/>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FFCC"/>
          </w:tcPr>
          <w:p>
            <w:pPr>
              <w:spacing w:after="0"/>
              <w:rPr>
                <w:sz w:val="19"/>
                <w:szCs w:val="19"/>
                <w:color w:val="auto"/>
              </w:rPr>
            </w:pPr>
          </w:p>
        </w:tc>
        <w:tc>
          <w:tcPr>
            <w:tcW w:w="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ind w:right="35"/>
              <w:spacing w:after="0"/>
              <w:rPr>
                <w:sz w:val="20"/>
                <w:szCs w:val="20"/>
                <w:color w:val="auto"/>
              </w:rPr>
            </w:pPr>
            <w:r>
              <w:rPr>
                <w:rFonts w:ascii="Times New Roman" w:cs="Times New Roman" w:eastAsia="Times New Roman" w:hAnsi="Times New Roman"/>
                <w:sz w:val="18"/>
                <w:szCs w:val="18"/>
                <w:color w:val="auto"/>
              </w:rPr>
              <w:t>39,340</w:t>
            </w:r>
          </w:p>
        </w:tc>
        <w:tc>
          <w:tcPr>
            <w:tcW w:w="100" w:type="dxa"/>
            <w:vAlign w:val="bottom"/>
            <w:shd w:val="clear" w:color="auto" w:fill="CCFFCC"/>
          </w:tcPr>
          <w:p>
            <w:pPr>
              <w:spacing w:after="0"/>
              <w:rPr>
                <w:sz w:val="19"/>
                <w:szCs w:val="19"/>
                <w:color w:val="auto"/>
              </w:rPr>
            </w:pPr>
          </w:p>
        </w:tc>
        <w:tc>
          <w:tcPr>
            <w:tcW w:w="560" w:type="dxa"/>
            <w:vAlign w:val="bottom"/>
            <w:shd w:val="clear" w:color="auto" w:fill="CCFFCC"/>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rPr>
              <w:t>13,213</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42,379</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FFCC"/>
          </w:tcPr>
          <w:p>
            <w:pPr>
              <w:jc w:val="right"/>
              <w:ind w:right="32"/>
              <w:spacing w:after="0"/>
              <w:rPr>
                <w:sz w:val="20"/>
                <w:szCs w:val="20"/>
                <w:color w:val="auto"/>
              </w:rPr>
            </w:pPr>
            <w:r>
              <w:rPr>
                <w:rFonts w:ascii="Times New Roman" w:cs="Times New Roman" w:eastAsia="Times New Roman" w:hAnsi="Times New Roman"/>
                <w:sz w:val="18"/>
                <w:szCs w:val="18"/>
                <w:color w:val="auto"/>
              </w:rPr>
              <w:t>103,235</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336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b w:val="1"/>
                <w:bCs w:val="1"/>
                <w:color w:val="auto"/>
              </w:rPr>
              <w:t>Gross Investment Returns</w:t>
            </w:r>
          </w:p>
        </w:tc>
        <w:tc>
          <w:tcPr>
            <w:tcW w:w="22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center"/>
              <w:ind w:left="271"/>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18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100" w:type="dxa"/>
            <w:vAlign w:val="bottom"/>
            <w:shd w:val="clear" w:color="auto" w:fill="CCFFCC"/>
          </w:tcPr>
          <w:p>
            <w:pPr>
              <w:spacing w:after="0"/>
              <w:rPr>
                <w:sz w:val="19"/>
                <w:szCs w:val="19"/>
                <w:color w:val="auto"/>
              </w:rPr>
            </w:pPr>
          </w:p>
        </w:tc>
        <w:tc>
          <w:tcPr>
            <w:tcW w:w="560" w:type="dxa"/>
            <w:vAlign w:val="bottom"/>
            <w:shd w:val="clear" w:color="auto" w:fill="CCFFCC"/>
          </w:tcPr>
          <w:p>
            <w:pPr>
              <w:spacing w:after="0"/>
              <w:rPr>
                <w:sz w:val="19"/>
                <w:szCs w:val="19"/>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0.2 %</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Balance Sheet Changes</w:t>
      </w:r>
    </w:p>
    <w:p>
      <w:pPr>
        <w:spacing w:after="0" w:line="52" w:lineRule="exact"/>
        <w:rPr>
          <w:sz w:val="20"/>
          <w:szCs w:val="20"/>
          <w:color w:val="auto"/>
        </w:rPr>
      </w:pPr>
    </w:p>
    <w:p>
      <w:pPr>
        <w:jc w:val="both"/>
        <w:ind w:firstLine="282"/>
        <w:spacing w:after="0" w:line="221" w:lineRule="auto"/>
        <w:rPr>
          <w:sz w:val="20"/>
          <w:szCs w:val="20"/>
          <w:color w:val="auto"/>
        </w:rPr>
      </w:pPr>
      <w:r>
        <w:rPr>
          <w:rFonts w:ascii="Times New Roman" w:cs="Times New Roman" w:eastAsia="Times New Roman" w:hAnsi="Times New Roman"/>
          <w:sz w:val="18"/>
          <w:szCs w:val="18"/>
          <w:color w:val="auto"/>
        </w:rPr>
        <w:t xml:space="preserve">The following table summarizes other material balance sheet changes at June 30, 2025 compared to December 31, 2024. Substantially all of the increases in the balance sheet items below relate to the completion of the Combination with Maiden on May 27, 2025, as discussed in </w:t>
      </w:r>
      <w:r>
        <w:rPr>
          <w:rFonts w:ascii="Times New Roman" w:cs="Times New Roman" w:eastAsia="Times New Roman" w:hAnsi="Times New Roman"/>
          <w:sz w:val="18"/>
          <w:szCs w:val="18"/>
          <w:i w:val="1"/>
          <w:iCs w:val="1"/>
          <w:color w:val="auto"/>
        </w:rPr>
        <w:t>Part I, Item 1 -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 Condensed Consolidated Financial Statements (unaudited) "Note 4. Investments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15. Business Combination" </w:t>
      </w:r>
      <w:r>
        <w:rPr>
          <w:rFonts w:ascii="Times New Roman" w:cs="Times New Roman" w:eastAsia="Times New Roman" w:hAnsi="Times New Roman"/>
          <w:sz w:val="18"/>
          <w:szCs w:val="18"/>
          <w:color w:val="auto"/>
        </w:rPr>
        <w:t>included in this Form 10-Q:</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640" w:type="dxa"/>
            <w:vAlign w:val="bottom"/>
            <w:gridSpan w:val="3"/>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 in $</w:t>
            </w:r>
          </w:p>
        </w:tc>
      </w:tr>
      <w:tr>
        <w:trPr>
          <w:trHeight w:val="25"/>
        </w:trPr>
        <w:tc>
          <w:tcPr>
            <w:tcW w:w="66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Reinsurance balances receivable, net</w:t>
            </w:r>
          </w:p>
        </w:tc>
        <w:tc>
          <w:tcPr>
            <w:tcW w:w="20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10,397</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10,397</w:t>
            </w:r>
          </w:p>
        </w:tc>
      </w:tr>
      <w:tr>
        <w:trPr>
          <w:trHeight w:val="228"/>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520,520</w:t>
            </w:r>
          </w:p>
        </w:tc>
      </w:tr>
      <w:tr>
        <w:trPr>
          <w:trHeight w:val="228"/>
        </w:trPr>
        <w:tc>
          <w:tcPr>
            <w:tcW w:w="6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loan receivable from related party</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107,490</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40" w:type="dxa"/>
            <w:vAlign w:val="bottom"/>
            <w:gridSpan w:val="3"/>
            <w:shd w:val="clear" w:color="auto" w:fill="CCFFCC"/>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107,490</w:t>
            </w:r>
          </w:p>
        </w:tc>
      </w:tr>
      <w:tr>
        <w:trPr>
          <w:trHeight w:val="228"/>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r>
      <w:tr>
        <w:trPr>
          <w:trHeight w:val="228"/>
        </w:trPr>
        <w:tc>
          <w:tcPr>
            <w:tcW w:w="6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Funds withheld receivable</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40" w:type="dxa"/>
            <w:vAlign w:val="bottom"/>
            <w:gridSpan w:val="3"/>
            <w:shd w:val="clear" w:color="auto" w:fill="CCFFCC"/>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12,085</w:t>
            </w:r>
          </w:p>
        </w:tc>
      </w:tr>
      <w:tr>
        <w:trPr>
          <w:trHeight w:val="228"/>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w:t>
            </w:r>
          </w:p>
        </w:tc>
      </w:tr>
      <w:tr>
        <w:trPr>
          <w:trHeight w:val="228"/>
        </w:trPr>
        <w:tc>
          <w:tcPr>
            <w:tcW w:w="6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Reserve for loss and LAE</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723,432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40" w:type="dxa"/>
            <w:vAlign w:val="bottom"/>
            <w:gridSpan w:val="3"/>
            <w:shd w:val="clear" w:color="auto" w:fill="CCFFCC"/>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723,432</w:t>
            </w:r>
          </w:p>
        </w:tc>
      </w:tr>
      <w:tr>
        <w:trPr>
          <w:trHeight w:val="228"/>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22,597</w:t>
            </w:r>
          </w:p>
        </w:tc>
      </w:tr>
      <w:tr>
        <w:trPr>
          <w:trHeight w:val="228"/>
        </w:trPr>
        <w:tc>
          <w:tcPr>
            <w:tcW w:w="6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Earn out liability</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40" w:type="dxa"/>
            <w:vAlign w:val="bottom"/>
            <w:gridSpan w:val="3"/>
            <w:shd w:val="clear" w:color="auto" w:fill="CCFFCC"/>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8"/>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 for investments purchased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r>
      <w:tr>
        <w:trPr>
          <w:trHeight w:val="228"/>
        </w:trPr>
        <w:tc>
          <w:tcPr>
            <w:tcW w:w="666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79,263</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78,359</w:t>
            </w:r>
          </w:p>
        </w:tc>
      </w:tr>
      <w:tr>
        <w:trPr>
          <w:trHeight w:val="233"/>
        </w:trPr>
        <w:tc>
          <w:tcPr>
            <w:tcW w:w="6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Notes, net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six months ended June 30, 2025, book value per common share increased to $19.39 and diluted book value per common share increased to</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 xml:space="preserve">$19.31, compared to $1.67 at December 31, 2024. This was largely due to the Combination completed on May 27, 2025, which produced substantially all of the increase in shareholders' equity for the six months ended June 30, 2025 as described in discussed in </w:t>
      </w:r>
      <w:r>
        <w:rPr>
          <w:rFonts w:ascii="Times New Roman" w:cs="Times New Roman" w:eastAsia="Times New Roman" w:hAnsi="Times New Roman"/>
          <w:sz w:val="18"/>
          <w:szCs w:val="18"/>
          <w:i w:val="1"/>
          <w:iCs w:val="1"/>
          <w:color w:val="auto"/>
        </w:rPr>
        <w:t>Part I, Item 1 - Notes to 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(unaudited) "Note 1. Basis of Presentation</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15. Business Combination" </w:t>
      </w:r>
      <w:r>
        <w:rPr>
          <w:rFonts w:ascii="Times New Roman" w:cs="Times New Roman" w:eastAsia="Times New Roman" w:hAnsi="Times New Roman"/>
          <w:sz w:val="18"/>
          <w:szCs w:val="18"/>
          <w:color w:val="auto"/>
        </w:rPr>
        <w:t>included in this Form 10-Q.</w:t>
      </w:r>
    </w:p>
    <w:p>
      <w:pPr>
        <w:spacing w:after="0" w:line="62" w:lineRule="exact"/>
        <w:rPr>
          <w:sz w:val="20"/>
          <w:szCs w:val="20"/>
          <w:color w:val="auto"/>
        </w:rPr>
      </w:pPr>
    </w:p>
    <w:p>
      <w:pPr>
        <w:ind w:right="20" w:firstLine="241"/>
        <w:spacing w:after="0" w:line="236" w:lineRule="auto"/>
        <w:rPr>
          <w:sz w:val="20"/>
          <w:szCs w:val="20"/>
          <w:color w:val="auto"/>
        </w:rPr>
      </w:pPr>
      <w:r>
        <w:rPr>
          <w:rFonts w:ascii="Times New Roman" w:cs="Times New Roman" w:eastAsia="Times New Roman" w:hAnsi="Times New Roman"/>
          <w:sz w:val="18"/>
          <w:szCs w:val="18"/>
          <w:color w:val="auto"/>
        </w:rPr>
        <w:t>Capital resources consist of funds deployed in support of our operations. The following table shows the movement in our capital resources at June 30, 2025 and December 31, 2024:</w:t>
      </w:r>
    </w:p>
    <w:p>
      <w:pPr>
        <w:spacing w:after="0" w:line="9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0" w:type="dxa"/>
            <w:vAlign w:val="bottom"/>
          </w:tcPr>
          <w:p>
            <w:pPr>
              <w:spacing w:after="0"/>
              <w:rPr>
                <w:sz w:val="1"/>
                <w:szCs w:val="1"/>
                <w:color w:val="auto"/>
              </w:rPr>
            </w:pPr>
          </w:p>
        </w:tc>
      </w:tr>
      <w:tr>
        <w:trPr>
          <w:trHeight w:val="2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Common shares at par value</w:t>
            </w:r>
          </w:p>
        </w:tc>
        <w:tc>
          <w:tcPr>
            <w:tcW w:w="22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FFCC"/>
          </w:tcPr>
          <w:p>
            <w:pPr>
              <w:spacing w:after="0"/>
              <w:rPr>
                <w:sz w:val="19"/>
                <w:szCs w:val="19"/>
                <w:color w:val="auto"/>
              </w:rPr>
            </w:pPr>
          </w:p>
        </w:tc>
        <w:tc>
          <w:tcPr>
            <w:tcW w:w="22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8"/>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166,778</w:t>
            </w:r>
          </w:p>
        </w:tc>
        <w:tc>
          <w:tcPr>
            <w:tcW w:w="0" w:type="dxa"/>
            <w:vAlign w:val="bottom"/>
          </w:tcPr>
          <w:p>
            <w:pPr>
              <w:spacing w:after="0"/>
              <w:rPr>
                <w:sz w:val="1"/>
                <w:szCs w:val="1"/>
                <w:color w:val="auto"/>
              </w:rPr>
            </w:pPr>
          </w:p>
        </w:tc>
      </w:tr>
      <w:tr>
        <w:trPr>
          <w:trHeight w:val="228"/>
        </w:trPr>
        <w:tc>
          <w:tcPr>
            <w:tcW w:w="6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8"/>
        </w:trPr>
        <w:tc>
          <w:tcPr>
            <w:tcW w:w="6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29,533</w:t>
            </w:r>
          </w:p>
        </w:tc>
        <w:tc>
          <w:tcPr>
            <w:tcW w:w="0" w:type="dxa"/>
            <w:vAlign w:val="bottom"/>
          </w:tcPr>
          <w:p>
            <w:pPr>
              <w:spacing w:after="0"/>
              <w:rPr>
                <w:sz w:val="1"/>
                <w:szCs w:val="1"/>
                <w:color w:val="auto"/>
              </w:rPr>
            </w:pPr>
          </w:p>
        </w:tc>
      </w:tr>
      <w:tr>
        <w:trPr>
          <w:trHeight w:val="228"/>
        </w:trPr>
        <w:tc>
          <w:tcPr>
            <w:tcW w:w="6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Treasury shares, at cost</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(51,463)</w:t>
            </w:r>
          </w:p>
        </w:tc>
        <w:tc>
          <w:tcPr>
            <w:tcW w:w="0" w:type="dxa"/>
            <w:vAlign w:val="bottom"/>
          </w:tcPr>
          <w:p>
            <w:pPr>
              <w:spacing w:after="0"/>
              <w:rPr>
                <w:sz w:val="1"/>
                <w:szCs w:val="1"/>
                <w:color w:val="auto"/>
              </w:rPr>
            </w:pPr>
          </w:p>
        </w:tc>
      </w:tr>
      <w:tr>
        <w:trPr>
          <w:trHeight w:val="221"/>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Kestrel shareholders' equity</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150,085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145,479</w:t>
            </w:r>
          </w:p>
        </w:tc>
        <w:tc>
          <w:tcPr>
            <w:tcW w:w="0" w:type="dxa"/>
            <w:vAlign w:val="bottom"/>
          </w:tcPr>
          <w:p>
            <w:pPr>
              <w:spacing w:after="0"/>
              <w:rPr>
                <w:sz w:val="1"/>
                <w:szCs w:val="1"/>
                <w:color w:val="auto"/>
              </w:rPr>
            </w:pPr>
          </w:p>
        </w:tc>
      </w:tr>
      <w:tr>
        <w:trPr>
          <w:trHeight w:val="228"/>
        </w:trPr>
        <w:tc>
          <w:tcPr>
            <w:tcW w:w="66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Senior Notes - carrying value</w:t>
            </w:r>
          </w:p>
        </w:tc>
        <w:tc>
          <w:tcPr>
            <w:tcW w:w="22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42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262,361</w:t>
            </w:r>
          </w:p>
        </w:tc>
        <w:tc>
          <w:tcPr>
            <w:tcW w:w="0" w:type="dxa"/>
            <w:vAlign w:val="bottom"/>
          </w:tcPr>
          <w:p>
            <w:pPr>
              <w:spacing w:after="0"/>
              <w:rPr>
                <w:sz w:val="1"/>
                <w:szCs w:val="1"/>
                <w:color w:val="auto"/>
              </w:rPr>
            </w:pPr>
          </w:p>
        </w:tc>
      </w:tr>
      <w:tr>
        <w:trPr>
          <w:trHeight w:val="221"/>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capital resources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412,446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407,840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capital resources increased by $407.8 million compared to December 31, 2024 due to the following items:</w:t>
      </w:r>
    </w:p>
    <w:p>
      <w:pPr>
        <w:spacing w:after="0" w:line="75" w:lineRule="exact"/>
        <w:rPr>
          <w:sz w:val="20"/>
          <w:szCs w:val="20"/>
          <w:color w:val="auto"/>
        </w:rPr>
      </w:pPr>
    </w:p>
    <w:p>
      <w:pPr>
        <w:ind w:left="660" w:hanging="79"/>
        <w:spacing w:after="0" w:line="236" w:lineRule="auto"/>
        <w:rPr>
          <w:sz w:val="20"/>
          <w:szCs w:val="20"/>
          <w:color w:val="auto"/>
        </w:rPr>
      </w:pPr>
      <w:r>
        <w:rPr>
          <w:rFonts w:ascii="Times New Roman" w:cs="Times New Roman" w:eastAsia="Times New Roman" w:hAnsi="Times New Roman"/>
          <w:sz w:val="18"/>
          <w:szCs w:val="18"/>
          <w:color w:val="auto"/>
        </w:rPr>
        <w:t>•retained earnings increased by $29.5 million due to the net income of $69.5 million reported for the six months ended June 30, 2025 partly offset by a $40.0 million cash distribution to shareholders at closing of the Combination;</w:t>
      </w:r>
    </w:p>
    <w:p>
      <w:pPr>
        <w:spacing w:after="0" w:line="8" w:lineRule="exact"/>
        <w:rPr>
          <w:sz w:val="20"/>
          <w:szCs w:val="20"/>
          <w:color w:val="auto"/>
        </w:rPr>
      </w:pPr>
    </w:p>
    <w:p>
      <w:pPr>
        <w:ind w:left="660" w:right="20" w:hanging="79"/>
        <w:spacing w:after="0" w:line="236" w:lineRule="auto"/>
        <w:rPr>
          <w:sz w:val="20"/>
          <w:szCs w:val="20"/>
          <w:color w:val="auto"/>
        </w:rPr>
      </w:pPr>
      <w:r>
        <w:rPr>
          <w:rFonts w:ascii="Times New Roman" w:cs="Times New Roman" w:eastAsia="Times New Roman" w:hAnsi="Times New Roman"/>
          <w:sz w:val="18"/>
          <w:szCs w:val="18"/>
          <w:color w:val="auto"/>
        </w:rPr>
        <w:t>•net increase in additional paid-in capital of $166.8 million largely due to shares issued as consideration for the combination pursuant to the terms of the Combination Agreement of $166.5 million as well as stock based compensation expense of $0.2 million;</w:t>
      </w:r>
    </w:p>
    <w:p>
      <w:pPr>
        <w:ind w:left="580"/>
        <w:spacing w:after="0" w:line="235" w:lineRule="auto"/>
        <w:rPr>
          <w:sz w:val="20"/>
          <w:szCs w:val="20"/>
          <w:color w:val="auto"/>
        </w:rPr>
      </w:pPr>
      <w:r>
        <w:rPr>
          <w:rFonts w:ascii="Times New Roman" w:cs="Times New Roman" w:eastAsia="Times New Roman" w:hAnsi="Times New Roman"/>
          <w:sz w:val="18"/>
          <w:szCs w:val="18"/>
          <w:color w:val="auto"/>
        </w:rPr>
        <w:t>•net increase in AOCI of $0.6 million due to: (1) net unrealized gains of $0.5 million on our AFS investment portfolio due to market price</w:t>
      </w:r>
    </w:p>
    <w:p>
      <w:pPr>
        <w:jc w:val="both"/>
        <w:ind w:left="660"/>
        <w:spacing w:after="0" w:line="217" w:lineRule="auto"/>
        <w:rPr>
          <w:sz w:val="20"/>
          <w:szCs w:val="20"/>
          <w:color w:val="auto"/>
        </w:rPr>
      </w:pPr>
      <w:r>
        <w:rPr>
          <w:rFonts w:ascii="Times New Roman" w:cs="Times New Roman" w:eastAsia="Times New Roman" w:hAnsi="Times New Roman"/>
          <w:sz w:val="18"/>
          <w:szCs w:val="18"/>
          <w:color w:val="auto"/>
        </w:rPr>
        <w:t>movements in the six months ended June 30, 2025, and (2) an increase in foreign currency translation adjustment of $0.1 million in the six months ended June 30, 2025 due to the impact of depreciation of the U.S. dollar on the re-measurement of net assets denominated in British pound and euro; and</w:t>
      </w:r>
    </w:p>
    <w:p>
      <w:pPr>
        <w:spacing w:after="0" w:line="8" w:lineRule="exact"/>
        <w:rPr>
          <w:sz w:val="20"/>
          <w:szCs w:val="20"/>
          <w:color w:val="auto"/>
        </w:rPr>
      </w:pPr>
    </w:p>
    <w:p>
      <w:pPr>
        <w:ind w:left="660" w:right="20" w:hanging="79"/>
        <w:spacing w:after="0" w:line="236" w:lineRule="auto"/>
        <w:rPr>
          <w:sz w:val="20"/>
          <w:szCs w:val="20"/>
          <w:color w:val="auto"/>
        </w:rPr>
      </w:pPr>
      <w:r>
        <w:rPr>
          <w:rFonts w:ascii="Times New Roman" w:cs="Times New Roman" w:eastAsia="Times New Roman" w:hAnsi="Times New Roman"/>
          <w:sz w:val="18"/>
          <w:szCs w:val="18"/>
          <w:color w:val="auto"/>
        </w:rPr>
        <w:t>•treasury shares increased by $51.5 million due to the common shares issued to Maiden Reinsurance in respect of the Combination which is not treated as outstanding on the Condensed Consolidated Balance Sheet.</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Notes to Consolidated Financial Statements Note 6. Shareholders' Equity</w:t>
      </w:r>
      <w:r>
        <w:rPr>
          <w:rFonts w:ascii="Times New Roman" w:cs="Times New Roman" w:eastAsia="Times New Roman" w:hAnsi="Times New Roman"/>
          <w:sz w:val="18"/>
          <w:szCs w:val="18"/>
          <w:color w:val="auto"/>
        </w:rPr>
        <w:t>" included under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xml:space="preserve"> of this</w:t>
      </w:r>
    </w:p>
    <w:p>
      <w:pPr>
        <w:spacing w:after="0" w:line="205" w:lineRule="auto"/>
        <w:rPr>
          <w:sz w:val="20"/>
          <w:szCs w:val="20"/>
          <w:color w:val="auto"/>
        </w:rPr>
      </w:pPr>
      <w:r>
        <w:rPr>
          <w:rFonts w:ascii="Times New Roman" w:cs="Times New Roman" w:eastAsia="Times New Roman" w:hAnsi="Times New Roman"/>
          <w:sz w:val="18"/>
          <w:szCs w:val="18"/>
          <w:color w:val="auto"/>
        </w:rPr>
        <w:t>Quarterly Report on Form 10-Q for a discussion of the equity instruments issued by the Company. Book value and diluted book value per common share at</w:t>
      </w:r>
    </w:p>
    <w:p>
      <w:pPr>
        <w:spacing w:after="0"/>
        <w:rPr>
          <w:sz w:val="20"/>
          <w:szCs w:val="20"/>
          <w:color w:val="auto"/>
        </w:rPr>
      </w:pPr>
      <w:r>
        <w:rPr>
          <w:rFonts w:ascii="Times New Roman" w:cs="Times New Roman" w:eastAsia="Times New Roman" w:hAnsi="Times New Roman"/>
          <w:sz w:val="18"/>
          <w:szCs w:val="18"/>
          <w:color w:val="auto"/>
        </w:rPr>
        <w:t>June 30, 2025 and December 31, 2024 were as follows: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9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 except share and per share data)</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9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1"/>
        </w:trPr>
        <w:tc>
          <w:tcPr>
            <w:tcW w:w="79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Ending common shareholders’ equity</w:t>
            </w: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150,085</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28"/>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assumed conversion of dilutive options</w:t>
            </w:r>
          </w:p>
        </w:tc>
        <w:tc>
          <w:tcPr>
            <w:tcW w:w="2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92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Numerator for diluted book value per common share calculation</w:t>
            </w:r>
          </w:p>
        </w:tc>
        <w:tc>
          <w:tcPr>
            <w:tcW w:w="240" w:type="dxa"/>
            <w:vAlign w:val="bottom"/>
            <w:tcBorders>
              <w:top w:val="single" w:sz="8" w:color="auto"/>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150,085</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0"/>
        </w:trPr>
        <w:tc>
          <w:tcPr>
            <w:tcW w:w="79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3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420" w:type="dxa"/>
            <w:vAlign w:val="bottom"/>
            <w:tcBorders>
              <w:top w:val="single" w:sz="8" w:color="CCFFCC"/>
              <w:bottom w:val="single" w:sz="8" w:color="auto"/>
            </w:tcBorders>
          </w:tcPr>
          <w:p>
            <w:pPr>
              <w:spacing w:after="0" w:line="20" w:lineRule="exact"/>
              <w:rPr>
                <w:sz w:val="1"/>
                <w:szCs w:val="1"/>
                <w:color w:val="auto"/>
              </w:rPr>
            </w:pPr>
          </w:p>
        </w:tc>
      </w:tr>
      <w:tr>
        <w:trPr>
          <w:trHeight w:val="215"/>
        </w:trPr>
        <w:tc>
          <w:tcPr>
            <w:tcW w:w="7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8"/>
        </w:trPr>
        <w:tc>
          <w:tcPr>
            <w:tcW w:w="79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40" w:type="dxa"/>
            <w:vAlign w:val="bottom"/>
            <w:shd w:val="clear" w:color="auto" w:fill="CCFFCC"/>
          </w:tcPr>
          <w:p>
            <w:pPr>
              <w:spacing w:after="0"/>
              <w:rPr>
                <w:sz w:val="19"/>
                <w:szCs w:val="19"/>
                <w:color w:val="auto"/>
              </w:rPr>
            </w:pP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7,741,943</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2,749,996</w:t>
            </w:r>
          </w:p>
        </w:tc>
      </w:tr>
      <w:tr>
        <w:trPr>
          <w:trHeight w:val="228"/>
        </w:trPr>
        <w:tc>
          <w:tcPr>
            <w:tcW w:w="7920" w:type="dxa"/>
            <w:vAlign w:val="bottom"/>
            <w:tcBorders>
              <w:bottom w:val="single" w:sz="8" w:color="CCFFCC"/>
            </w:tcBorders>
          </w:tcPr>
          <w:p>
            <w:pPr>
              <w:ind w:left="40"/>
              <w:spacing w:after="0"/>
              <w:rPr>
                <w:sz w:val="20"/>
                <w:szCs w:val="20"/>
                <w:color w:val="auto"/>
              </w:rPr>
            </w:pPr>
            <w:r>
              <w:rPr>
                <w:rFonts w:ascii="Times New Roman" w:cs="Times New Roman" w:eastAsia="Times New Roman" w:hAnsi="Times New Roman"/>
                <w:sz w:val="18"/>
                <w:szCs w:val="18"/>
                <w:color w:val="auto"/>
              </w:rPr>
              <w:t>Shares issued from assumed conversion of dilutive options and restricted shares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31,929</w:t>
            </w:r>
          </w:p>
        </w:tc>
        <w:tc>
          <w:tcPr>
            <w:tcW w:w="10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792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Denominator for diluted book value per common share calculation</w:t>
            </w:r>
          </w:p>
        </w:tc>
        <w:tc>
          <w:tcPr>
            <w:tcW w:w="240" w:type="dxa"/>
            <w:vAlign w:val="bottom"/>
            <w:tcBorders>
              <w:bottom w:val="single" w:sz="8" w:color="auto"/>
            </w:tcBorders>
            <w:shd w:val="clear" w:color="auto" w:fill="CCFFCC"/>
          </w:tcPr>
          <w:p>
            <w:pPr>
              <w:spacing w:after="0"/>
              <w:rPr>
                <w:sz w:val="20"/>
                <w:szCs w:val="20"/>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7,773,872</w:t>
            </w:r>
          </w:p>
        </w:tc>
        <w:tc>
          <w:tcPr>
            <w:tcW w:w="10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2,749,996</w:t>
            </w:r>
          </w:p>
        </w:tc>
      </w:tr>
      <w:tr>
        <w:trPr>
          <w:trHeight w:val="20"/>
        </w:trPr>
        <w:tc>
          <w:tcPr>
            <w:tcW w:w="79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bottom w:val="single" w:sz="8" w:color="auto"/>
            </w:tcBorders>
          </w:tcPr>
          <w:p>
            <w:pPr>
              <w:spacing w:after="0" w:line="20" w:lineRule="exact"/>
              <w:rPr>
                <w:sz w:val="1"/>
                <w:szCs w:val="1"/>
                <w:color w:val="auto"/>
              </w:rPr>
            </w:pPr>
          </w:p>
        </w:tc>
        <w:tc>
          <w:tcPr>
            <w:tcW w:w="136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420" w:type="dxa"/>
            <w:vAlign w:val="bottom"/>
            <w:tcBorders>
              <w:top w:val="single" w:sz="8" w:color="CCFFCC"/>
              <w:bottom w:val="single" w:sz="8" w:color="auto"/>
            </w:tcBorders>
          </w:tcPr>
          <w:p>
            <w:pPr>
              <w:spacing w:after="0" w:line="20" w:lineRule="exact"/>
              <w:rPr>
                <w:sz w:val="1"/>
                <w:szCs w:val="1"/>
                <w:color w:val="auto"/>
              </w:rPr>
            </w:pPr>
          </w:p>
        </w:tc>
      </w:tr>
      <w:tr>
        <w:trPr>
          <w:trHeight w:val="215"/>
        </w:trPr>
        <w:tc>
          <w:tcPr>
            <w:tcW w:w="7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8"/>
        </w:trPr>
        <w:tc>
          <w:tcPr>
            <w:tcW w:w="792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b w:val="1"/>
                <w:bCs w:val="1"/>
                <w:color w:val="auto"/>
              </w:rPr>
              <w:t>Book value per common share</w:t>
            </w:r>
          </w:p>
        </w:tc>
        <w:tc>
          <w:tcPr>
            <w:tcW w:w="24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7"/>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Diluted book value per common share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At June 30, 2025, Kestrel Group had outstanding publicly-traded senior notes which were issued in 2016 ("2016 Senior Notes") by its now wholly</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owned subsidiary Maiden and outstanding publicly-traded senior notes which were issued in 2013 ("2013 Senior Notes") by its now wholly owned subsidiary, Maiden NA. These are collectively referred to as the Company's outstanding senior notes ("Senior Notes"). The Senior Notes are unsecured and unsubordinated obligations of the Company.</w:t>
      </w:r>
    </w:p>
    <w:p>
      <w:pPr>
        <w:spacing w:after="0" w:line="62" w:lineRule="exact"/>
        <w:rPr>
          <w:sz w:val="20"/>
          <w:szCs w:val="20"/>
          <w:color w:val="auto"/>
        </w:rPr>
      </w:pPr>
    </w:p>
    <w:p>
      <w:pPr>
        <w:jc w:val="both"/>
        <w:ind w:firstLine="282"/>
        <w:spacing w:after="0" w:line="236" w:lineRule="auto"/>
        <w:rPr>
          <w:sz w:val="20"/>
          <w:szCs w:val="20"/>
          <w:color w:val="auto"/>
        </w:rPr>
      </w:pPr>
      <w:r>
        <w:rPr>
          <w:rFonts w:ascii="Times New Roman" w:cs="Times New Roman" w:eastAsia="Times New Roman" w:hAnsi="Times New Roman"/>
          <w:sz w:val="18"/>
          <w:szCs w:val="18"/>
          <w:color w:val="auto"/>
        </w:rPr>
        <w:t>On May 27, 2025 in connection with the Combination, (i) Maiden, as issuer, the Company, as guarantor, and Wilmington Trust, National Association, as trustee, entered into a second supplemental indenture (the “Second Supplemental Indenture”)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6" w:name="page77"/>
    <w:bookmarkEnd w:id="76"/>
    <w:p>
      <w:pPr>
        <w:jc w:val="both"/>
        <w:spacing w:after="0" w:line="221" w:lineRule="auto"/>
        <w:rPr>
          <w:sz w:val="20"/>
          <w:szCs w:val="20"/>
          <w:color w:val="auto"/>
        </w:rPr>
      </w:pPr>
      <w:r>
        <w:rPr>
          <w:rFonts w:ascii="Times New Roman" w:cs="Times New Roman" w:eastAsia="Times New Roman" w:hAnsi="Times New Roman"/>
          <w:sz w:val="18"/>
          <w:szCs w:val="18"/>
          <w:color w:val="auto"/>
        </w:rPr>
        <w:t>that certain indenture dated as of June 14, 2016, providing that the Company will fully and unconditionally guarantee Maiden’s 6.625% Senior Notes due 2046 and (ii) Maiden NA, as issuer, the Company, as guarantor, and Wilmington Trust Company, as trustee, entered into a fourth supplemental indenture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(together with the Second Supplemental Indenture, the “Supplemental Indentures”) to that certain indenture dated as of June 24, 2011, providing that the Company will fully and unconditionally guarantee MHNA’s 7.75% Senior Notes due 2043.</w:t>
      </w:r>
    </w:p>
    <w:p>
      <w:pPr>
        <w:spacing w:after="0" w:line="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Company did not enter into any short-term borrowing arrangements during the six months ended June 30, 2025. Please refer to "</w:t>
      </w:r>
      <w:r>
        <w:rPr>
          <w:rFonts w:ascii="Times New Roman" w:cs="Times New Roman" w:eastAsia="Times New Roman" w:hAnsi="Times New Roman"/>
          <w:sz w:val="17"/>
          <w:szCs w:val="17"/>
          <w:i w:val="1"/>
          <w:iCs w:val="1"/>
          <w:color w:val="auto"/>
        </w:rPr>
        <w:t>Notes to Condensed</w:t>
      </w:r>
    </w:p>
    <w:p>
      <w:pPr>
        <w:spacing w:after="0" w:line="14"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i w:val="1"/>
          <w:iCs w:val="1"/>
          <w:color w:val="auto"/>
        </w:rPr>
        <w:t>Consolidated Financial Statements (unaudited) Note 7. Long Term Debt</w:t>
      </w:r>
      <w:r>
        <w:rPr>
          <w:rFonts w:ascii="Times New Roman" w:cs="Times New Roman" w:eastAsia="Times New Roman" w:hAnsi="Times New Roman"/>
          <w:sz w:val="18"/>
          <w:szCs w:val="18"/>
          <w:color w:val="auto"/>
        </w:rPr>
        <w:t>" included under Part I Item 1. "</w:t>
      </w:r>
      <w:r>
        <w:rPr>
          <w:rFonts w:ascii="Times New Roman" w:cs="Times New Roman" w:eastAsia="Times New Roman" w:hAnsi="Times New Roman"/>
          <w:sz w:val="18"/>
          <w:szCs w:val="18"/>
          <w:i w:val="1"/>
          <w:iCs w:val="1"/>
          <w:color w:val="auto"/>
        </w:rPr>
        <w:t xml:space="preserve">Financial Information" </w:t>
      </w:r>
      <w:r>
        <w:rPr>
          <w:rFonts w:ascii="Times New Roman" w:cs="Times New Roman" w:eastAsia="Times New Roman" w:hAnsi="Times New Roman"/>
          <w:sz w:val="18"/>
          <w:szCs w:val="18"/>
          <w:color w:val="auto"/>
        </w:rPr>
        <w:t>of this Form 10-Q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Company’s Senior Notes. Please refer to "</w:t>
      </w:r>
      <w:r>
        <w:rPr>
          <w:rFonts w:ascii="Times New Roman" w:cs="Times New Roman" w:eastAsia="Times New Roman" w:hAnsi="Times New Roman"/>
          <w:sz w:val="18"/>
          <w:szCs w:val="18"/>
          <w:i w:val="1"/>
          <w:iCs w:val="1"/>
          <w:color w:val="auto"/>
        </w:rPr>
        <w:t>Notes to Condensed Consolidated Financial Statements (unaudited) Note 11.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 and Guarantees</w:t>
      </w:r>
      <w:r>
        <w:rPr>
          <w:rFonts w:ascii="Times New Roman" w:cs="Times New Roman" w:eastAsia="Times New Roman" w:hAnsi="Times New Roman"/>
          <w:sz w:val="18"/>
          <w:szCs w:val="18"/>
          <w:color w:val="auto"/>
        </w:rPr>
        <w:t>" included under Part I Item 1. "</w:t>
      </w:r>
      <w:r>
        <w:rPr>
          <w:rFonts w:ascii="Times New Roman" w:cs="Times New Roman" w:eastAsia="Times New Roman" w:hAnsi="Times New Roman"/>
          <w:sz w:val="18"/>
          <w:szCs w:val="18"/>
          <w:i w:val="1"/>
          <w:iCs w:val="1"/>
          <w:color w:val="auto"/>
        </w:rPr>
        <w:t xml:space="preserve">Financial Information" </w:t>
      </w:r>
      <w:r>
        <w:rPr>
          <w:rFonts w:ascii="Times New Roman" w:cs="Times New Roman" w:eastAsia="Times New Roman" w:hAnsi="Times New Roman"/>
          <w:sz w:val="18"/>
          <w:szCs w:val="18"/>
          <w:color w:val="auto"/>
        </w:rPr>
        <w:t>of this Form 10-Q for recent litigation regarding the 2013 Senior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Maiden does not have any significant operations or assets other than ownership of the shares of our subsidiaries. The dividends and other permitted distributions from Maiden NA (and its subsidiaries) will be our sole source of funds to meet ongoing cash requirements, including debt service payments.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Factors that may affect payments to holders of the 2013 Senior Notes include restrictions on the payments of dividends by Maiden Reinsurance to Maiden NA which provides the sole source of income for interest payments on the 2013 Senior Notes. In 2023 and 2024, the Vermont DFR approved an annual dividend program from Maiden Reinsurance to Maiden NA, with notification to the Vermont DFR as dividends are paid. In 2025, the Vermont DFR</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approved an annual dividend program from Maiden Reinsurance to Maiden NA, but required prior approval of quarterly dividends before payment. Subsequent to those approvals, plus the approval for the $40.0 million extraordinary dividend to provide for consideration to the Kestrel shareholders pursuant to the terms of the Combination Agreement, Maiden Reinsurance has paid total dividends of $122.5 million to Maiden NA as of June 30, 2025.</w:t>
      </w:r>
    </w:p>
    <w:p>
      <w:pPr>
        <w:spacing w:after="0" w:line="6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The summarized financial information below has been presented on a combined basis for the issuer Maiden NA and the guarantor Maiden, excluding all other subsidiaries. Intercompany balances and transactions between Maiden NA and Maiden, whose information is presented above on a combined basis, were eliminated. Any investment by Maiden NA or Maiden in subsidiaries that are not issuers or guarantors is not presented in the financial information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55"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Intercompany balances with subsidiaries that are not issuers or guarantors and any related party transactions were separately disclosed below and are not included in the total assets and total liabilities presented for Maiden NA and Maiden. The net loss for Maiden NA and Maiden was due to interest and</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amortization expenses on the Senior Notes as well as general and administrative expenses. The net loss in Maiden NA also reflects income tax expense incurred for the respective period.</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Summarized financial information of Maiden NA and Maiden as of June 30, 2025 and for the three and six months ended June 30, 2025 were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Maiden NA</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Maiden Holdings</w:t>
            </w:r>
          </w:p>
        </w:tc>
      </w:t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color w:val="auto"/>
              </w:rPr>
              <w:t>($ in thousands)</w:t>
            </w:r>
          </w:p>
        </w:tc>
      </w:tr>
      <w:tr>
        <w:trPr>
          <w:trHeight w:val="236"/>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FFCC"/>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8"/>
                <w:szCs w:val="18"/>
                <w:color w:val="auto"/>
              </w:rPr>
              <w:t>5,706</w:t>
            </w: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151,290</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125,418</w:t>
            </w:r>
          </w:p>
        </w:tc>
      </w:tr>
      <w:tr>
        <w:trPr>
          <w:trHeight w:val="228"/>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 (not included in total assets above)</w:t>
            </w:r>
          </w:p>
        </w:tc>
        <w:tc>
          <w:tcPr>
            <w:tcW w:w="200" w:type="dxa"/>
            <w:vAlign w:val="bottom"/>
            <w:shd w:val="clear" w:color="auto" w:fill="CCFFCC"/>
          </w:tcPr>
          <w:p>
            <w:pPr>
              <w:spacing w:after="0"/>
              <w:rPr>
                <w:sz w:val="19"/>
                <w:szCs w:val="19"/>
                <w:color w:val="auto"/>
              </w:rPr>
            </w:pPr>
          </w:p>
        </w:tc>
        <w:tc>
          <w:tcPr>
            <w:tcW w:w="128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Amounts due to subsidiaries (not included in total liabilities above)</w:t>
            </w:r>
          </w:p>
        </w:tc>
        <w:tc>
          <w:tcPr>
            <w:tcW w:w="2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12,796</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28"/>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Related party loan payable (not included in total liabilities above)</w:t>
            </w:r>
          </w:p>
        </w:tc>
        <w:tc>
          <w:tcPr>
            <w:tcW w:w="200" w:type="dxa"/>
            <w:vAlign w:val="bottom"/>
            <w:shd w:val="clear" w:color="auto" w:fill="CCFFCC"/>
          </w:tcPr>
          <w:p>
            <w:pPr>
              <w:spacing w:after="0"/>
              <w:rPr>
                <w:sz w:val="19"/>
                <w:szCs w:val="19"/>
                <w:color w:val="auto"/>
              </w:rPr>
            </w:pPr>
          </w:p>
        </w:tc>
        <w:tc>
          <w:tcPr>
            <w:tcW w:w="1280" w:type="dxa"/>
            <w:vAlign w:val="bottom"/>
            <w:shd w:val="clear" w:color="auto" w:fill="CCFFC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321,472</w:t>
            </w:r>
          </w:p>
        </w:tc>
      </w:tr>
      <w:tr>
        <w:trPr>
          <w:trHeight w:val="22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for the quarter-to-date period</w:t>
            </w:r>
          </w:p>
        </w:tc>
        <w:tc>
          <w:tcPr>
            <w:tcW w:w="20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4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Net loss for the quarter-to-date period</w:t>
            </w:r>
          </w:p>
        </w:tc>
        <w:tc>
          <w:tcPr>
            <w:tcW w:w="200" w:type="dxa"/>
            <w:vAlign w:val="bottom"/>
            <w:shd w:val="clear" w:color="auto" w:fill="CCFFCC"/>
          </w:tcPr>
          <w:p>
            <w:pPr>
              <w:spacing w:after="0"/>
              <w:rPr>
                <w:sz w:val="19"/>
                <w:szCs w:val="19"/>
                <w:color w:val="auto"/>
              </w:rPr>
            </w:pPr>
          </w:p>
        </w:tc>
        <w:tc>
          <w:tcPr>
            <w:tcW w:w="12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60" w:type="dxa"/>
            <w:vAlign w:val="bottom"/>
            <w:shd w:val="clear" w:color="auto" w:fill="CCFFCC"/>
          </w:tcPr>
          <w:p>
            <w:pPr>
              <w:spacing w:after="0"/>
              <w:rPr>
                <w:sz w:val="19"/>
                <w:szCs w:val="19"/>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(3,872)</w:t>
            </w: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With respect to the related party loan payable for Maiden above, under the conditions stipulated in the Vermont DFR approval for the Combination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Agreement, Maiden Reinsurance (as the lender) is no longer permitted to include the corresponding related party loan receivable from Maiden Holdings (and related accrued interest) as an admitted asset for statutory capital and reporting purposes. As a result, Maiden Reinsurance's ratio of risk-based capital to total adjusted capital was significantly reduced, which remains sufficient to not only support the dividends related to the Combination and recurring</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annual dividends (which require prior approval by the Vermont DFR) but our ability to selectively underwrite business in support of our Program Services segment in the future.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ratio of Debt to Total Capital Resources at June 30, 2025 and December 31, 2024 was computed as follows: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80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800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Senior notes - principal amount</w:t>
            </w:r>
          </w:p>
        </w:tc>
        <w:tc>
          <w:tcPr>
            <w:tcW w:w="220" w:type="dxa"/>
            <w:vAlign w:val="bottom"/>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8"/>
                <w:szCs w:val="18"/>
                <w:color w:val="auto"/>
              </w:rPr>
              <w:t>262,361</w:t>
            </w:r>
          </w:p>
        </w:tc>
        <w:tc>
          <w:tcPr>
            <w:tcW w:w="120" w:type="dxa"/>
            <w:vAlign w:val="bottom"/>
            <w:shd w:val="clear" w:color="auto" w:fill="CCFFCC"/>
          </w:tcPr>
          <w:p>
            <w:pPr>
              <w:spacing w:after="0"/>
              <w:rPr>
                <w:sz w:val="19"/>
                <w:szCs w:val="19"/>
                <w:color w:val="auto"/>
              </w:rPr>
            </w:pPr>
          </w:p>
        </w:tc>
        <w:tc>
          <w:tcPr>
            <w:tcW w:w="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8000" w:type="dxa"/>
            <w:vAlign w:val="bottom"/>
            <w:tcBorders>
              <w:bottom w:val="single" w:sz="8" w:color="CCFFCC"/>
            </w:tcBorders>
          </w:tcPr>
          <w:p>
            <w:pPr>
              <w:ind w:left="6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150,085</w:t>
            </w:r>
          </w:p>
        </w:tc>
        <w:tc>
          <w:tcPr>
            <w:tcW w:w="12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46"/>
        </w:trPr>
        <w:tc>
          <w:tcPr>
            <w:tcW w:w="800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Total capital resources</w:t>
            </w:r>
          </w:p>
        </w:tc>
        <w:tc>
          <w:tcPr>
            <w:tcW w:w="220" w:type="dxa"/>
            <w:vAlign w:val="bottom"/>
            <w:tcBorders>
              <w:bottom w:val="single" w:sz="8" w:color="auto"/>
            </w:tcBorders>
            <w:shd w:val="clear" w:color="auto" w:fill="CCFFCC"/>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8"/>
                <w:szCs w:val="18"/>
                <w:color w:val="auto"/>
              </w:rPr>
              <w:t>412,446</w:t>
            </w:r>
          </w:p>
        </w:tc>
        <w:tc>
          <w:tcPr>
            <w:tcW w:w="12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FFCC"/>
          </w:tcPr>
          <w:p>
            <w:pPr>
              <w:jc w:val="right"/>
              <w:ind w:right="134"/>
              <w:spacing w:after="0"/>
              <w:rPr>
                <w:sz w:val="20"/>
                <w:szCs w:val="20"/>
                <w:color w:val="auto"/>
              </w:rPr>
            </w:pPr>
            <w:r>
              <w:rPr>
                <w:rFonts w:ascii="Times New Roman" w:cs="Times New Roman" w:eastAsia="Times New Roman" w:hAnsi="Times New Roman"/>
                <w:sz w:val="18"/>
                <w:szCs w:val="18"/>
                <w:color w:val="auto"/>
              </w:rPr>
              <w:t>4,606</w:t>
            </w:r>
          </w:p>
        </w:tc>
        <w:tc>
          <w:tcPr>
            <w:tcW w:w="0" w:type="dxa"/>
            <w:vAlign w:val="bottom"/>
          </w:tcPr>
          <w:p>
            <w:pPr>
              <w:spacing w:after="0"/>
              <w:rPr>
                <w:sz w:val="1"/>
                <w:szCs w:val="1"/>
                <w:color w:val="auto"/>
              </w:rPr>
            </w:pPr>
          </w:p>
        </w:tc>
      </w:tr>
      <w:tr>
        <w:trPr>
          <w:trHeight w:val="20"/>
        </w:trPr>
        <w:tc>
          <w:tcPr>
            <w:tcW w:w="8000" w:type="dxa"/>
            <w:vAlign w:val="bottom"/>
            <w:tcBorders>
              <w:top w:val="single" w:sz="8" w:color="CCFFCC"/>
              <w:bottom w:val="single" w:sz="8" w:color="CCFFCC"/>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Ratio of debt to total capital resources</w:t>
            </w:r>
          </w:p>
        </w:tc>
        <w:tc>
          <w:tcPr>
            <w:tcW w:w="220" w:type="dxa"/>
            <w:vAlign w:val="bottom"/>
            <w:tcBorders>
              <w:top w:val="single" w:sz="8" w:color="CCFFCC"/>
              <w:bottom w:val="single" w:sz="8" w:color="auto"/>
            </w:tcBorders>
          </w:tcPr>
          <w:p>
            <w:pPr>
              <w:spacing w:after="0" w:line="20" w:lineRule="exact"/>
              <w:rPr>
                <w:sz w:val="1"/>
                <w:szCs w:val="1"/>
                <w:color w:val="auto"/>
              </w:rPr>
            </w:pPr>
          </w:p>
        </w:tc>
        <w:tc>
          <w:tcPr>
            <w:tcW w:w="1320" w:type="dxa"/>
            <w:vAlign w:val="bottom"/>
            <w:tcBorders>
              <w:top w:val="single" w:sz="8" w:color="CCFFCC"/>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bottom w:val="single" w:sz="8" w:color="auto"/>
            </w:tcBorders>
          </w:tcPr>
          <w:p>
            <w:pPr>
              <w:spacing w:after="0" w:line="20" w:lineRule="exact"/>
              <w:rPr>
                <w:sz w:val="1"/>
                <w:szCs w:val="1"/>
                <w:color w:val="auto"/>
              </w:rPr>
            </w:pPr>
          </w:p>
        </w:tc>
        <w:tc>
          <w:tcPr>
            <w:tcW w:w="1400" w:type="dxa"/>
            <w:vAlign w:val="bottom"/>
            <w:tcBorders>
              <w:top w:val="single" w:sz="8" w:color="CCFFC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Certain of the Company's investments in limited partnerships are related to real estate joint ventures with interests in multi-property projects with varying</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strategies ranging from the development of properties to the ownership of income-producing properties. In certain of these joint ventures, the Company has provided certain indemnities, guarantees and commitments to certain parties such that it may be required to make payments now or in the future as further described in the "</w:t>
      </w:r>
      <w:r>
        <w:rPr>
          <w:rFonts w:ascii="Times New Roman" w:cs="Times New Roman" w:eastAsia="Times New Roman" w:hAnsi="Times New Roman"/>
          <w:sz w:val="18"/>
          <w:szCs w:val="18"/>
          <w:i w:val="1"/>
          <w:iCs w:val="1"/>
          <w:color w:val="auto"/>
        </w:rPr>
        <w:t>Notes to Condensed Consolidated Financial Statements (unaudited) Note 11. Commitments, Contingencies and Guarantees</w:t>
      </w:r>
      <w:r>
        <w:rPr>
          <w:rFonts w:ascii="Times New Roman" w:cs="Times New Roman" w:eastAsia="Times New Roman" w:hAnsi="Times New Roman"/>
          <w:sz w:val="18"/>
          <w:szCs w:val="18"/>
          <w:color w:val="auto"/>
        </w:rPr>
        <w:t>" included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xml:space="preserve"> of this Form 10-Q.</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Any loss for which the Company could be liable would be contingent on the default of a loan by the real estate joint venture entity for which the Company provided a financial guarantee to a lender. While the Company has committed to aggregate limits as to the amount of guarantees it will provide as</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part of its limited partnerships, guarantees are only provided on an individual transaction basis and are subject to the terms and conditions of each transaction mutually agreed by the parties involved. The Company is not bound to such guarantees without its express authorization.</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discussed above, at June 30, 2025, guarantees of $71.6 million have been provided to lenders by Maiden Reinsurance on behalf of the real estate joint</w:t>
      </w:r>
    </w:p>
    <w:p>
      <w:pPr>
        <w:spacing w:after="0" w:line="216" w:lineRule="auto"/>
        <w:rPr>
          <w:sz w:val="20"/>
          <w:szCs w:val="20"/>
          <w:color w:val="auto"/>
        </w:rPr>
      </w:pPr>
      <w:r>
        <w:rPr>
          <w:rFonts w:ascii="Times New Roman" w:cs="Times New Roman" w:eastAsia="Times New Roman" w:hAnsi="Times New Roman"/>
          <w:sz w:val="18"/>
          <w:szCs w:val="18"/>
          <w:color w:val="auto"/>
        </w:rPr>
        <w:t>venture, however, the likelihood of Maiden Reinsurance incurring any losses pertaining to project level financing guarantees was determined to be remote.</w:t>
      </w:r>
    </w:p>
    <w:p>
      <w:pPr>
        <w:spacing w:after="0"/>
        <w:rPr>
          <w:sz w:val="20"/>
          <w:szCs w:val="20"/>
          <w:color w:val="auto"/>
        </w:rPr>
      </w:pPr>
      <w:r>
        <w:rPr>
          <w:rFonts w:ascii="Times New Roman" w:cs="Times New Roman" w:eastAsia="Times New Roman" w:hAnsi="Times New Roman"/>
          <w:sz w:val="18"/>
          <w:szCs w:val="18"/>
          <w:color w:val="auto"/>
        </w:rPr>
        <w:t>Therefore, no liability has been accrued under ASC 450-20.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addition to our key financial measures presented in accordance with GAAP in the Condensed Consolidated Balance Sheets and Condensed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Consolidated Statements of Income and Comprehensive Income, management uses certain non-GAAP financial measures to evaluate the Company's financial performance and the overall growth in value generated for the Company’s common shareholders. Management believes that these measures, which may be defined differently by other companies, explain the Company’s results to investors in a manner that allows for a more complete understanding of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underlying trends in the Company’s business. These non-GAAP financial measures should not be viewed as a substitute for those determined in accordance with U.S. GAAP and are summarized below.</w:t>
      </w:r>
    </w:p>
    <w:p>
      <w:pPr>
        <w:spacing w:after="0" w:line="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Non-GAAP operating earnings (loss) and non-GAAP diluted operating earnings (loss) per common share</w:t>
      </w:r>
      <w:r>
        <w:rPr>
          <w:rFonts w:ascii="Times New Roman" w:cs="Times New Roman" w:eastAsia="Times New Roman" w:hAnsi="Times New Roman"/>
          <w:sz w:val="18"/>
          <w:szCs w:val="18"/>
          <w:color w:val="auto"/>
        </w:rPr>
        <w:t>: Management believes that the use of non-</w:t>
      </w:r>
    </w:p>
    <w:p>
      <w:pPr>
        <w:spacing w:after="0" w:line="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GAAP operating earnings and non-GAAP diluted operating earnings per common share enables investors and other users of the Company’s financial information to analyze its performance in a manner similar to how management analyzes performance. Management also believes that these measures generally follow industry practice therefore allowing the users of financial information to compare the Company’s performance with its industry peer group,</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and that the equity analysts and certain rating agencies which follow the Company, and the insurance industry as a whole, generally exclude these items from their analyses for the same reasons. Non-GAAP operating earnings should not be viewed as a substitute for U.S. GAAP net income.</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Non-GAAP operating earnings (loss) is an internal performance measure used by management as these measures focus on the underlying fundamentals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of the Company's operations by excluding, on a recurring basis: (1) net realized investment gains (losses); (2) foreign exchange and other gains (losses); and and (3) interest in income (loss) of equity method investments. It also excludes on a non-recurring basis: (1) loss from discontinued operations, net of income tax; (2) the bargain purchase gain resulting from the Combination Agreement; and (3) the change in the fair value of the earn out liability. We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excluded net realized investment gains (losses), and foreign exchange and other gains (losses) as we believe these are influenced by market opportunities and other factors. We do not believe the net loss from discontinued operations, the bargain purchase gain on the Combination Agreement, and the change in the fair value of the earn out liability are representative of our ongoing and future business.We believe all of these amounts are substantially independent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any potential future underwriting process, therefore their inclusion would distort the analysis of underlying trends in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79" w:name="page80"/>
    <w:bookmarkEnd w:id="79"/>
    <w:p>
      <w:pPr>
        <w:jc w:val="both"/>
        <w:ind w:firstLine="241"/>
        <w:spacing w:after="0" w:line="222" w:lineRule="auto"/>
        <w:rPr>
          <w:sz w:val="20"/>
          <w:szCs w:val="20"/>
          <w:color w:val="auto"/>
        </w:rPr>
      </w:pPr>
      <w:r>
        <w:rPr>
          <w:rFonts w:ascii="Times New Roman" w:cs="Times New Roman" w:eastAsia="Times New Roman" w:hAnsi="Times New Roman"/>
          <w:sz w:val="18"/>
          <w:szCs w:val="18"/>
          <w:color w:val="auto"/>
        </w:rPr>
        <w:t xml:space="preserve">As defined and described in the </w:t>
      </w:r>
      <w:r>
        <w:rPr>
          <w:rFonts w:ascii="Times New Roman" w:cs="Times New Roman" w:eastAsia="Times New Roman" w:hAnsi="Times New Roman"/>
          <w:sz w:val="18"/>
          <w:szCs w:val="18"/>
          <w:i w:val="1"/>
          <w:iCs w:val="1"/>
          <w:color w:val="auto"/>
        </w:rPr>
        <w:t>Key Financial Measures</w:t>
      </w:r>
      <w:r>
        <w:rPr>
          <w:rFonts w:ascii="Times New Roman" w:cs="Times New Roman" w:eastAsia="Times New Roman" w:hAnsi="Times New Roman"/>
          <w:sz w:val="18"/>
          <w:szCs w:val="18"/>
          <w:color w:val="auto"/>
        </w:rPr>
        <w:t xml:space="preserve"> section, management uses certain key financial measures, some of which are non-GAAP measures, to evaluate the Company's financial performance and the overall growth in value generated for the Company’s common shareholders.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Management believes that these measures, which may be defined differently by other companies, explain the Company’s results to investors in a manner that allows for a more complete understanding of the underlying trends in the Company’s business. The calculation, reconciliation to nearest GAAP measure and discussion of relevant non-GAAP measures used by management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187"/>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color w:val="auto"/>
              </w:rPr>
              <w:t>($ in thousands except per share data)</w:t>
            </w:r>
          </w:p>
        </w:tc>
      </w:tr>
      <w:tr>
        <w:trPr>
          <w:trHeight w:val="236"/>
        </w:trPr>
        <w:tc>
          <w:tcPr>
            <w:tcW w:w="8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69,927</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8"/>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82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Change in fair value of earn out consideration</w:t>
            </w:r>
          </w:p>
        </w:tc>
        <w:tc>
          <w:tcPr>
            <w:tcW w:w="26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Non-GAAP operating earnings (loss)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0"/>
        </w:trPr>
        <w:tc>
          <w:tcPr>
            <w:tcW w:w="81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8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r>
      <w:tr>
        <w:trPr>
          <w:trHeight w:val="228"/>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Diluted earnings (loss) per share attributable to common shareholders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8"/>
        </w:trPr>
        <w:tc>
          <w:tcPr>
            <w:tcW w:w="8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r>
      <w:tr>
        <w:trPr>
          <w:trHeight w:val="228"/>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200"/>
              <w:spacing w:after="0"/>
              <w:rPr>
                <w:sz w:val="20"/>
                <w:szCs w:val="20"/>
                <w:color w:val="auto"/>
              </w:rPr>
            </w:pPr>
            <w:r>
              <w:rPr>
                <w:rFonts w:ascii="Times New Roman" w:cs="Times New Roman" w:eastAsia="Times New Roman" w:hAnsi="Times New Roman"/>
                <w:sz w:val="18"/>
                <w:szCs w:val="18"/>
                <w:color w:val="auto"/>
              </w:rPr>
              <w:t>Loss from discontinued operations, net of income tax</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Borders>
              <w:bottom w:val="single" w:sz="8" w:color="CCFFCC"/>
            </w:tcBorders>
            <w:gridSpan w:val="2"/>
          </w:tcPr>
          <w:p>
            <w:pPr>
              <w:ind w:left="60"/>
              <w:spacing w:after="0"/>
              <w:rPr>
                <w:sz w:val="20"/>
                <w:szCs w:val="20"/>
                <w:color w:val="auto"/>
              </w:rPr>
            </w:pPr>
            <w:r>
              <w:rPr>
                <w:rFonts w:ascii="Times New Roman" w:cs="Times New Roman" w:eastAsia="Times New Roman" w:hAnsi="Times New Roman"/>
                <w:sz w:val="18"/>
                <w:szCs w:val="18"/>
                <w:color w:val="auto"/>
              </w:rPr>
              <w:t>Change in fair value of earn out consideration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2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Non-GAAP diluted operating earnings (loss) per share attributable to common shareholders</w:t>
            </w:r>
          </w:p>
        </w:tc>
        <w:tc>
          <w:tcPr>
            <w:tcW w:w="26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8260" w:type="dxa"/>
            <w:vAlign w:val="bottom"/>
            <w:tcBorders>
              <w:top w:val="single" w:sz="8" w:color="CCFFCC"/>
            </w:tcBorders>
            <w:gridSpan w:val="2"/>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r>
        <w:trPr>
          <w:trHeight w:val="378"/>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60" w:type="dxa"/>
            <w:vAlign w:val="bottom"/>
          </w:tcPr>
          <w:p>
            <w:pPr>
              <w:spacing w:after="0"/>
              <w:rPr>
                <w:sz w:val="24"/>
                <w:szCs w:val="24"/>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
        </w:trPr>
        <w:tc>
          <w:tcPr>
            <w:tcW w:w="8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187"/>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color w:val="auto"/>
              </w:rPr>
              <w:t>($ in thousands except per share data)</w:t>
            </w:r>
          </w:p>
        </w:tc>
      </w:tr>
      <w:tr>
        <w:trPr>
          <w:trHeight w:val="236"/>
        </w:trPr>
        <w:tc>
          <w:tcPr>
            <w:tcW w:w="8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Net income (loss) attributable to Kestrel common shareholders</w:t>
            </w:r>
          </w:p>
        </w:tc>
        <w:tc>
          <w:tcPr>
            <w:tcW w:w="260" w:type="dxa"/>
            <w:vAlign w:val="bottom"/>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69,533</w:t>
            </w:r>
          </w:p>
        </w:tc>
        <w:tc>
          <w:tcPr>
            <w:tcW w:w="100" w:type="dxa"/>
            <w:vAlign w:val="bottom"/>
            <w:shd w:val="clear" w:color="auto" w:fill="CCFFCC"/>
          </w:tcPr>
          <w:p>
            <w:pPr>
              <w:spacing w:after="0"/>
              <w:rPr>
                <w:sz w:val="20"/>
                <w:szCs w:val="20"/>
                <w:color w:val="auto"/>
              </w:rPr>
            </w:pPr>
          </w:p>
        </w:tc>
        <w:tc>
          <w:tcPr>
            <w:tcW w:w="340" w:type="dxa"/>
            <w:vAlign w:val="bottom"/>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8"/>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8260" w:type="dxa"/>
            <w:vAlign w:val="bottom"/>
            <w:gridSpan w:val="2"/>
            <w:shd w:val="clear" w:color="auto" w:fill="CCFFCC"/>
          </w:tcPr>
          <w:p>
            <w:pPr>
              <w:ind w:left="26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26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(73,590)</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Change in fair value of earn out consideration</w:t>
            </w:r>
          </w:p>
        </w:tc>
        <w:tc>
          <w:tcPr>
            <w:tcW w:w="26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FFCC"/>
          </w:tcPr>
          <w:p>
            <w:pPr>
              <w:spacing w:after="0"/>
              <w:rPr>
                <w:sz w:val="19"/>
                <w:szCs w:val="19"/>
                <w:color w:val="auto"/>
              </w:rPr>
            </w:pPr>
          </w:p>
        </w:tc>
        <w:tc>
          <w:tcPr>
            <w:tcW w:w="340" w:type="dxa"/>
            <w:vAlign w:val="bottom"/>
            <w:tcBorders>
              <w:bottom w:val="single" w:sz="8" w:color="auto"/>
            </w:tcBorders>
            <w:shd w:val="clear" w:color="auto" w:fill="CCFFCC"/>
          </w:tcPr>
          <w:p>
            <w:pPr>
              <w:spacing w:after="0"/>
              <w:rPr>
                <w:sz w:val="19"/>
                <w:szCs w:val="19"/>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Non-GAAP operating earnings (loss)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0"/>
        </w:trPr>
        <w:tc>
          <w:tcPr>
            <w:tcW w:w="8160" w:type="dxa"/>
            <w:vAlign w:val="bottom"/>
            <w:tcBorders>
              <w:bottom w:val="single" w:sz="8" w:color="CCFFCC"/>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FFC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2"/>
        </w:trPr>
        <w:tc>
          <w:tcPr>
            <w:tcW w:w="81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r>
      <w:tr>
        <w:trPr>
          <w:trHeight w:val="228"/>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Diluted income (loss) per share attributable to common shareholders</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28"/>
        </w:trPr>
        <w:tc>
          <w:tcPr>
            <w:tcW w:w="8260" w:type="dxa"/>
            <w:vAlign w:val="bottom"/>
            <w:gridSpan w:val="2"/>
            <w:shd w:val="clear" w:color="auto" w:fill="CCFFCC"/>
          </w:tcPr>
          <w:p>
            <w:pPr>
              <w:ind w:left="180"/>
              <w:spacing w:after="0"/>
              <w:rPr>
                <w:sz w:val="20"/>
                <w:szCs w:val="20"/>
                <w:color w:val="auto"/>
              </w:rPr>
            </w:pPr>
            <w:r>
              <w:rPr>
                <w:rFonts w:ascii="Times New Roman" w:cs="Times New Roman" w:eastAsia="Times New Roman" w:hAnsi="Times New Roman"/>
                <w:sz w:val="18"/>
                <w:szCs w:val="18"/>
                <w:i w:val="1"/>
                <w:iCs w:val="1"/>
                <w:color w:val="auto"/>
              </w:rPr>
              <w:t>Add (subtract):</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spacing w:after="0"/>
              <w:rPr>
                <w:sz w:val="19"/>
                <w:szCs w:val="19"/>
                <w:color w:val="auto"/>
              </w:rPr>
            </w:pPr>
          </w:p>
        </w:tc>
      </w:tr>
      <w:tr>
        <w:trPr>
          <w:trHeight w:val="228"/>
        </w:trPr>
        <w:tc>
          <w:tcPr>
            <w:tcW w:w="82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realized and unrealized investment gains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260"/>
              <w:spacing w:after="0"/>
              <w:rPr>
                <w:sz w:val="20"/>
                <w:szCs w:val="20"/>
                <w:color w:val="auto"/>
              </w:rPr>
            </w:pPr>
            <w:r>
              <w:rPr>
                <w:rFonts w:ascii="Times New Roman" w:cs="Times New Roman" w:eastAsia="Times New Roman" w:hAnsi="Times New Roman"/>
                <w:sz w:val="18"/>
                <w:szCs w:val="18"/>
                <w:color w:val="auto"/>
              </w:rPr>
              <w:t>Foreign exchange and other losses</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gridSpan w:val="2"/>
            <w:shd w:val="clear" w:color="auto" w:fill="CCFFCC"/>
          </w:tcPr>
          <w:p>
            <w:pPr>
              <w:ind w:left="3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Borders>
              <w:bottom w:val="single" w:sz="8" w:color="CCFFC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Change in fair value of earn out consideration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FFC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8260" w:type="dxa"/>
            <w:vAlign w:val="bottom"/>
            <w:tcBorders>
              <w:bottom w:val="single" w:sz="8" w:color="CCFFCC"/>
            </w:tcBorders>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Non-GAAP diluted operating earnings (loss) per share attributable to common shareholders</w:t>
            </w:r>
          </w:p>
        </w:tc>
        <w:tc>
          <w:tcPr>
            <w:tcW w:w="260" w:type="dxa"/>
            <w:vAlign w:val="bottom"/>
            <w:tcBorders>
              <w:bottom w:val="single" w:sz="8" w:color="auto"/>
            </w:tcBorders>
            <w:shd w:val="clear" w:color="auto" w:fill="CCFFC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0"/>
        </w:trPr>
        <w:tc>
          <w:tcPr>
            <w:tcW w:w="8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CCFFCC"/>
              <w:bottom w:val="single" w:sz="8" w:color="auto"/>
            </w:tcBorders>
          </w:tcPr>
          <w:p>
            <w:pPr>
              <w:spacing w:after="0" w:line="20" w:lineRule="exact"/>
              <w:rPr>
                <w:sz w:val="1"/>
                <w:szCs w:val="1"/>
                <w:color w:val="auto"/>
              </w:rPr>
            </w:pPr>
          </w:p>
        </w:tc>
        <w:tc>
          <w:tcPr>
            <w:tcW w:w="1180" w:type="dxa"/>
            <w:vAlign w:val="bottom"/>
            <w:tcBorders>
              <w:top w:val="single" w:sz="8" w:color="CCFFCC"/>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CCFFCC"/>
              <w:bottom w:val="single" w:sz="8" w:color="auto"/>
            </w:tcBorders>
          </w:tcPr>
          <w:p>
            <w:pPr>
              <w:spacing w:after="0" w:line="20" w:lineRule="exact"/>
              <w:rPr>
                <w:sz w:val="1"/>
                <w:szCs w:val="1"/>
                <w:color w:val="auto"/>
              </w:rPr>
            </w:pPr>
          </w:p>
        </w:tc>
        <w:tc>
          <w:tcPr>
            <w:tcW w:w="1100" w:type="dxa"/>
            <w:vAlign w:val="bottom"/>
            <w:tcBorders>
              <w:top w:val="single" w:sz="8" w:color="CCFFCC"/>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Non-GAAP operating earnings was $3.5 million for the three months ended June 30, 2025 compared to non-GAAP operating loss of $0.5 million for the</w:t>
      </w:r>
    </w:p>
    <w:p>
      <w:pPr>
        <w:spacing w:after="0" w:line="12"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same period in 2024. Non-GAAP operating earnings was $3.1 million for the six months ended June 30, 2025, compared to non-GAAP operating loss of $0.9 million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Non-GAAP Operating ROACE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Non-GAAP Operating Return on Average Common Equity ("Non-GAAP Operating ROACE"): Management uses non-GAAP operating return on</w:t>
      </w:r>
    </w:p>
    <w:p>
      <w:pPr>
        <w:spacing w:after="0" w:line="1"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8"/>
          <w:szCs w:val="18"/>
          <w:color w:val="auto"/>
        </w:rPr>
        <w:t>average common shareholders' equity as a measure of profitability that focuses on the return to common shareholders. It is calculated using non-GAAP operating earnings available to common shareholders (as defined above) divided by average common shareholders' equity.</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Non-GAAP Operating ROACE for the three and six months ended June 30, 2025 and 2024 was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00" w:type="dxa"/>
            <w:vAlign w:val="bottom"/>
          </w:tcPr>
          <w:p>
            <w:pPr>
              <w:spacing w:after="0"/>
              <w:rPr>
                <w:sz w:val="16"/>
                <w:szCs w:val="16"/>
                <w:color w:val="auto"/>
              </w:rPr>
            </w:pPr>
          </w:p>
        </w:tc>
        <w:tc>
          <w:tcPr>
            <w:tcW w:w="282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5"/>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840" w:type="dxa"/>
            <w:vAlign w:val="bottom"/>
            <w:tcBorders>
              <w:bottom w:val="single" w:sz="8" w:color="CCFFCC"/>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FFC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FFC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FFC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84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Non-GAAP operating earnings (loss)</w:t>
            </w:r>
          </w:p>
        </w:tc>
        <w:tc>
          <w:tcPr>
            <w:tcW w:w="260" w:type="dxa"/>
            <w:vAlign w:val="bottom"/>
            <w:shd w:val="clear" w:color="auto" w:fill="CCFFCC"/>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FFCC"/>
          </w:tcPr>
          <w:p>
            <w:pPr>
              <w:jc w:val="right"/>
              <w:ind w:right="136"/>
              <w:spacing w:after="0"/>
              <w:rPr>
                <w:sz w:val="20"/>
                <w:szCs w:val="20"/>
                <w:color w:val="auto"/>
              </w:rPr>
            </w:pPr>
            <w:r>
              <w:rPr>
                <w:rFonts w:ascii="Times New Roman" w:cs="Times New Roman" w:eastAsia="Times New Roman" w:hAnsi="Times New Roman"/>
                <w:sz w:val="18"/>
                <w:szCs w:val="18"/>
                <w:color w:val="auto"/>
              </w:rPr>
              <w:t>3,462</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FFCC"/>
          </w:tcPr>
          <w:p>
            <w:pPr>
              <w:jc w:val="right"/>
              <w:ind w:right="94"/>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FFCC"/>
          </w:tcPr>
          <w:p>
            <w:pPr>
              <w:jc w:val="right"/>
              <w:ind w:right="136"/>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FFCC"/>
          </w:tcPr>
          <w:p>
            <w:pPr>
              <w:jc w:val="right"/>
              <w:ind w:right="94"/>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8"/>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Opening adjusted shareholders’ equity</w:t>
            </w: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4,227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28"/>
        </w:trPr>
        <w:tc>
          <w:tcPr>
            <w:tcW w:w="48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Ending adjusted shareholders’ equity</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jc w:val="right"/>
              <w:ind w:right="136"/>
              <w:spacing w:after="0"/>
              <w:rPr>
                <w:sz w:val="20"/>
                <w:szCs w:val="20"/>
                <w:color w:val="auto"/>
              </w:rPr>
            </w:pPr>
            <w:r>
              <w:rPr>
                <w:rFonts w:ascii="Times New Roman" w:cs="Times New Roman" w:eastAsia="Times New Roman" w:hAnsi="Times New Roman"/>
                <w:sz w:val="18"/>
                <w:szCs w:val="18"/>
                <w:color w:val="auto"/>
              </w:rPr>
              <w:t>150,085</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20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20" w:type="dxa"/>
            <w:vAlign w:val="bottom"/>
            <w:shd w:val="clear" w:color="auto" w:fill="CCFFCC"/>
          </w:tcPr>
          <w:p>
            <w:pPr>
              <w:jc w:val="right"/>
              <w:ind w:right="136"/>
              <w:spacing w:after="0"/>
              <w:rPr>
                <w:sz w:val="20"/>
                <w:szCs w:val="20"/>
                <w:color w:val="auto"/>
              </w:rPr>
            </w:pPr>
            <w:r>
              <w:rPr>
                <w:rFonts w:ascii="Times New Roman" w:cs="Times New Roman" w:eastAsia="Times New Roman" w:hAnsi="Times New Roman"/>
                <w:sz w:val="18"/>
                <w:szCs w:val="18"/>
                <w:color w:val="auto"/>
              </w:rPr>
              <w:t>150,085</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40" w:type="dxa"/>
            <w:vAlign w:val="bottom"/>
            <w:shd w:val="clear" w:color="auto" w:fill="CCFFCC"/>
          </w:tcPr>
          <w:p>
            <w:pPr>
              <w:jc w:val="right"/>
              <w:ind w:right="134"/>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8"/>
        </w:trPr>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Average adjusted shareholders’ equity</w:t>
            </w:r>
          </w:p>
        </w:tc>
        <w:tc>
          <w:tcPr>
            <w:tcW w:w="260" w:type="dxa"/>
            <w:vAlign w:val="bottom"/>
          </w:tcPr>
          <w:p>
            <w:pPr>
              <w:spacing w:after="0"/>
              <w:rPr>
                <w:sz w:val="19"/>
                <w:szCs w:val="19"/>
                <w:color w:val="auto"/>
              </w:rPr>
            </w:pPr>
          </w:p>
        </w:tc>
        <w:tc>
          <w:tcPr>
            <w:tcW w:w="12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77,156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77,346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5,375</w:t>
            </w:r>
          </w:p>
        </w:tc>
        <w:tc>
          <w:tcPr>
            <w:tcW w:w="0" w:type="dxa"/>
            <w:vAlign w:val="bottom"/>
          </w:tcPr>
          <w:p>
            <w:pPr>
              <w:spacing w:after="0"/>
              <w:rPr>
                <w:sz w:val="1"/>
                <w:szCs w:val="1"/>
                <w:color w:val="auto"/>
              </w:rPr>
            </w:pPr>
          </w:p>
        </w:tc>
      </w:tr>
      <w:tr>
        <w:trPr>
          <w:trHeight w:val="228"/>
        </w:trPr>
        <w:tc>
          <w:tcPr>
            <w:tcW w:w="484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Non-GAAP Operating ROACE</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2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Currency and Foreign Exchange</w:t>
      </w:r>
    </w:p>
    <w:p>
      <w:pPr>
        <w:spacing w:after="0" w:line="92" w:lineRule="exact"/>
        <w:rPr>
          <w:sz w:val="20"/>
          <w:szCs w:val="20"/>
          <w:color w:val="auto"/>
        </w:rPr>
      </w:pPr>
    </w:p>
    <w:p>
      <w:pPr>
        <w:jc w:val="both"/>
        <w:ind w:firstLine="282"/>
        <w:spacing w:after="0" w:line="214" w:lineRule="auto"/>
        <w:rPr>
          <w:sz w:val="20"/>
          <w:szCs w:val="20"/>
          <w:color w:val="auto"/>
        </w:rPr>
      </w:pPr>
      <w:r>
        <w:rPr>
          <w:rFonts w:ascii="Times New Roman" w:cs="Times New Roman" w:eastAsia="Times New Roman" w:hAnsi="Times New Roman"/>
          <w:sz w:val="18"/>
          <w:szCs w:val="18"/>
          <w:color w:val="auto"/>
        </w:rPr>
        <w:t>We conduct business in a variety of foreign (non-U.S.) currencies, exclusively in our Legacy Reinsurance sgement, the principal exposures being the euro and the British pound. Assets and liabilities denominated in foreign currencies are exposed to changes in currency exchange rates. Our reporting currency is the U.S. dollar, and exchange rate fluctuations relative to the U.S. dollar may materially impact our results and financial position. Our principal</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exposure to foreign currency risk is our obligation to settle claims in foreign currencies. In addition, in order to minimize this risk, we maintain and expect to continue to maintain a portion of our investment portfolio in investments denominated in currencies other than the U.S. dollar. We may employ various strategies (including hedging) to manage our exposure to foreign currency exchange risk. To the extent that these exposures are not fully hedged 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hedges are ineffective, our results of operations or equity may be adversely affected.</w:t>
      </w:r>
    </w:p>
    <w:p>
      <w:pPr>
        <w:spacing w:after="0" w:line="55" w:lineRule="exact"/>
        <w:rPr>
          <w:sz w:val="20"/>
          <w:szCs w:val="20"/>
          <w:color w:val="auto"/>
        </w:rPr>
      </w:pPr>
    </w:p>
    <w:p>
      <w:pPr>
        <w:jc w:val="both"/>
        <w:ind w:firstLine="282"/>
        <w:spacing w:after="0" w:line="234" w:lineRule="auto"/>
        <w:rPr>
          <w:sz w:val="20"/>
          <w:szCs w:val="20"/>
          <w:color w:val="auto"/>
        </w:rPr>
      </w:pPr>
      <w:r>
        <w:rPr>
          <w:rFonts w:ascii="Times New Roman" w:cs="Times New Roman" w:eastAsia="Times New Roman" w:hAnsi="Times New Roman"/>
          <w:sz w:val="17"/>
          <w:szCs w:val="17"/>
          <w:color w:val="auto"/>
        </w:rPr>
        <w:t>At June 30, 2025, no such hedges or hedging strategies were in force or had been entered into. We measure monetary assets and liabilities denominated in foreign currencies at period end exchange rates, with the resulting foreign exchange gains and losses recognized in the unaudited Condensed Consolidated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Statements of Income. Revenues and expenses in foreign currencies are converted at average exchange rates during the period. The effect of the translation adjustments for foreign operations is included in AOCI.</w:t>
      </w:r>
    </w:p>
    <w:p>
      <w:pPr>
        <w:spacing w:after="0" w:line="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Net foreign exchange losses of $5.1 million were generated during the three and six months ended June 30, 2025, compared to net foreign exchange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losses of $0.0 million for the three and six months ended June 30, 2024. The foreign exchange losses for the three and six months ended June 30, 2025 were caused by significant depreciation in the value of the U.S. dollar relative to the euro and the British pound due to uncertainty around international trade and associated U.S. tariff policy. These losses were primarily unrealized and resulted from the effects of revaluation of our net insurance liabilities that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be settled in foreign currencies at each balance sheet date.</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At June 30, 2025, the increase in foreign currency translation adjustments of $0.1 million for the six months ended June 30, 2025 was primarily driven by exposures to euro, British pound and other non-USD denominated net loss reserves and insurance related liabilities in excess of foreign currency assets. Our</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non-USD denominated liabilities at June 30, 2025 included reserve for net loss and LAE on our Legacy Reinsurance segment of $341.3 million. Our foreign currency asset exposures at June 30, 2025 include $139.4 million of fixed maturity securities managed by our investment managers who have the discretion to hold foreign currency exposures as part of their total return strategy, $33.2 million of real estate investments denominated in Canadian dollars, as well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million of funds withheld receivable.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anticipated effects of inflation are considered explicitly in the pricing of the insured exposures, which are used as the initial estimates of reserves for</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loss and LAE. In addition, inflation is also implicitly accounted for in subsequent estimates of loss and LAE reserves, as the expected rate of emergence is in part predicated upon the historical levels of inflation that impact ultimate claim costs. To the extent inflation causes these costs, particularly medical treatments and litigation costs, to vary from the assumptions made in the pricing or reserving estimates, the Company will be required to change the reserve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for loss and LAE with a corresponding change in its earnings in the period in which the variance is identified. The actual effects of inflation on the results of operations of the Company cannot be accurately known until claims are ultimately settled.</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continue to monitor inflationary impacts resulting from recent government stimulus, sharp increases in demand, labor force and supply chain</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disruptions, among other factors, on our loss cost trends. Our reserves predominantly consist of workers’ compensation, general liability, and hospital liability business. These long tailed lines of business have been subject to the longer term trend of social inflation, but we have not observed significant impacts for the recently elevated levels of inflation. We proactively analyze available data and we incorporate trends into our loss reserving assumptions to ensure we are considerate of current and future economic conditions.</w:t>
      </w:r>
    </w:p>
    <w:p>
      <w:pPr>
        <w:spacing w:after="0" w:line="63"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Governmental policy responses to inflation have significantly increased interest rates which, in the short term, have contributed to unrealized gains on our fixed income investments, particularly on our fixed maturity securities. While general economic inflation has eased in recent quarters, there remains uncertainty around the rate and direction of inflation and interest rates and we continue to monitor our liquidity, capital and potential earnings impact of</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these changes but remain focused on our asset allocation decisions as described in our </w:t>
      </w:r>
      <w:r>
        <w:rPr>
          <w:rFonts w:ascii="Times New Roman" w:cs="Times New Roman" w:eastAsia="Times New Roman" w:hAnsi="Times New Roman"/>
          <w:sz w:val="18"/>
          <w:szCs w:val="18"/>
          <w:i w:val="1"/>
          <w:iCs w:val="1"/>
          <w:color w:val="auto"/>
        </w:rPr>
        <w:t>"Business Strategy"</w:t>
      </w:r>
      <w:r>
        <w:rPr>
          <w:rFonts w:ascii="Times New Roman" w:cs="Times New Roman" w:eastAsia="Times New Roman" w:hAnsi="Times New Roman"/>
          <w:sz w:val="18"/>
          <w:szCs w:val="18"/>
          <w:color w:val="auto"/>
        </w:rPr>
        <w:t xml:space="preserve"> section of Item 2.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Results of Operations - Overview</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Inflation may also result in increased wage pressures for our operating expenses, as we remain focused on being a competitive employer in our market.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Currently, while salaries and incentive compensation costs comprise less than one-half of our total general and administrative expenses, continuing inflation and tight labor conditions could have a material impact on our net operating results.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At June 30, 2025, we did not have any off-balance sheet arrangements as defined by Item 303(a) (4) of Regulation 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Item 1 - Notes to Condensed Consolidated Financial Statements (unaudited) Note 2. Significant Accounting Policies</w:t>
      </w:r>
      <w:r>
        <w:rPr>
          <w:rFonts w:ascii="Times New Roman" w:cs="Times New Roman" w:eastAsia="Times New Roman" w:hAnsi="Times New Roman"/>
          <w:sz w:val="18"/>
          <w:szCs w:val="18"/>
          <w:color w:val="auto"/>
        </w:rPr>
        <w:t>" for a discussion 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65" w:lineRule="exact"/>
        <w:rPr>
          <w:sz w:val="20"/>
          <w:szCs w:val="20"/>
          <w:color w:val="auto"/>
        </w:rPr>
      </w:pPr>
    </w:p>
    <w:p>
      <w:pPr>
        <w:jc w:val="both"/>
        <w:ind w:firstLine="303"/>
        <w:spacing w:after="0" w:line="21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have evaluated the Company's disclosure controls and procedures (as defined in Rules 13a-15(e) and 15d-15(e) of the Securities Exchange Act of 1934, as amended (the “Exchange Act”)).</w:t>
      </w:r>
    </w:p>
    <w:p>
      <w:pPr>
        <w:spacing w:after="0" w:line="1"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reports filed or submitted under the Exchange Act is recorded, processed, summarized and reported within the time periods specified by SEC rules and forms and that such information is accumulated and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communicated to management, including our Principal Executive Officer and Principal Financial Officer, to allow for timely decisions regarding required disclosures.</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Based on that evaluation, the Principal Executive Officer and Principal Financial Officer have concluded that, because a material weakness in our</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8"/>
          <w:szCs w:val="18"/>
          <w:color w:val="auto"/>
        </w:rPr>
        <w:t>internal control over financial reporting existed at December 31, 2024 and had not been remediated by the end of the period covered by this Quarterly Report on Form 10-Q, the Company’s disclosure controls and procedures were not effective as of the end of the period covered by this Quarterly Report on Form 10-Q. This material weakness in our internal control over financial reporting and our remediation efforts are described below.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Weakness in Internal Control over Financial Reporting</w:t>
      </w:r>
    </w:p>
    <w:p>
      <w:pPr>
        <w:spacing w:after="0" w:line="79" w:lineRule="exact"/>
        <w:rPr>
          <w:sz w:val="20"/>
          <w:szCs w:val="20"/>
          <w:color w:val="auto"/>
        </w:rPr>
      </w:pPr>
    </w:p>
    <w:p>
      <w:pPr>
        <w:jc w:val="both"/>
        <w:ind w:firstLine="241"/>
        <w:spacing w:after="0" w:line="25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identified a material weakness related to our internal control over financial reporting for the financial statements of the Kestrel Group LLC and its subsidiaries. This material weakness existed prior to the consummation</w:t>
      </w:r>
    </w:p>
    <w:p>
      <w:pPr>
        <w:jc w:val="both"/>
        <w:spacing w:after="0" w:line="233" w:lineRule="auto"/>
        <w:rPr>
          <w:sz w:val="20"/>
          <w:szCs w:val="20"/>
          <w:color w:val="auto"/>
        </w:rPr>
      </w:pPr>
      <w:r>
        <w:rPr>
          <w:rFonts w:ascii="Times New Roman" w:cs="Times New Roman" w:eastAsia="Times New Roman" w:hAnsi="Times New Roman"/>
          <w:sz w:val="18"/>
          <w:szCs w:val="18"/>
          <w:color w:val="auto"/>
        </w:rPr>
        <w:t>of the acquisition.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These included:</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21"/>
          <w:szCs w:val="21"/>
          <w:color w:val="auto"/>
        </w:rPr>
        <w:t>•</w:t>
      </w:r>
      <w:r>
        <w:rPr>
          <w:rFonts w:ascii="Times New Roman" w:cs="Times New Roman" w:eastAsia="Times New Roman" w:hAnsi="Times New Roman"/>
          <w:sz w:val="17"/>
          <w:szCs w:val="17"/>
          <w:color w:val="auto"/>
        </w:rPr>
        <w:t>Control activities over financial reporting were not sufficiently or appropriately designed or implemented; additionally there is a lack of</w:t>
      </w:r>
    </w:p>
    <w:p>
      <w:pPr>
        <w:spacing w:after="0" w:line="1" w:lineRule="exact"/>
        <w:rPr>
          <w:sz w:val="20"/>
          <w:szCs w:val="20"/>
          <w:color w:val="auto"/>
        </w:rPr>
      </w:pPr>
    </w:p>
    <w:p>
      <w:pPr>
        <w:ind w:left="580"/>
        <w:spacing w:after="0" w:line="224" w:lineRule="auto"/>
        <w:rPr>
          <w:sz w:val="20"/>
          <w:szCs w:val="20"/>
          <w:color w:val="auto"/>
        </w:rPr>
      </w:pPr>
      <w:r>
        <w:rPr>
          <w:rFonts w:ascii="Times New Roman" w:cs="Times New Roman" w:eastAsia="Times New Roman" w:hAnsi="Times New Roman"/>
          <w:sz w:val="18"/>
          <w:szCs w:val="18"/>
          <w:color w:val="auto"/>
        </w:rPr>
        <w:t>documentation, review and approval of control activities over key balances recorded to the financial statements of Kestrel Group LLC and its subsidiaries, Kestrel Insurance Agency, LLC and Kestrel Service Corporation;</w:t>
      </w:r>
    </w:p>
    <w:p>
      <w:pPr>
        <w:spacing w:after="0" w:line="54" w:lineRule="exact"/>
        <w:rPr>
          <w:sz w:val="20"/>
          <w:szCs w:val="20"/>
          <w:color w:val="auto"/>
        </w:rPr>
      </w:pPr>
    </w:p>
    <w:p>
      <w:pPr>
        <w:ind w:left="580" w:hanging="7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Ineffective control activities and monitoring controls due to a lack of segregation of duties and insufficient analysis of certain accounts recorded at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Kestrel Group LLC;</w:t>
      </w:r>
    </w:p>
    <w:p>
      <w:pPr>
        <w:spacing w:after="0" w:line="15" w:lineRule="exact"/>
        <w:rPr>
          <w:sz w:val="20"/>
          <w:szCs w:val="20"/>
          <w:color w:val="auto"/>
        </w:rPr>
      </w:pPr>
    </w:p>
    <w:p>
      <w:pPr>
        <w:ind w:left="580" w:hanging="7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Ineffective control environment due to an insufficient number of accounting personnel with an appropriate level of knowledge and expertise related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to our technical accounting matters over financial reporting over revenue recognition;</w:t>
      </w:r>
    </w:p>
    <w:p>
      <w:pPr>
        <w:spacing w:after="0" w:line="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•Controls over the data used, as well as the completeness and accuracy of reports used in the revenue recognition process were ineffective;</w:t>
      </w:r>
    </w:p>
    <w:p>
      <w:pPr>
        <w:spacing w:after="0" w:line="79" w:lineRule="exact"/>
        <w:rPr>
          <w:sz w:val="20"/>
          <w:szCs w:val="20"/>
          <w:color w:val="auto"/>
        </w:rPr>
      </w:pPr>
    </w:p>
    <w:p>
      <w:pPr>
        <w:ind w:left="580" w:hanging="79"/>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Information technology general controls are not sufficiently or appropriately designed or implemented over in-scope business processes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financial reporting systems for Kestrel Group LLC.</w:t>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u w:val="single" w:color="auto"/>
          <w:color w:val="auto"/>
        </w:rPr>
        <w:t>Remediation Measures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 address the material weakness described above, we have designed and implemented new and enhanced controls to ensure that:</w:t>
      </w:r>
    </w:p>
    <w:p>
      <w:pPr>
        <w:spacing w:after="0" w:line="66" w:lineRule="exact"/>
        <w:rPr>
          <w:sz w:val="20"/>
          <w:szCs w:val="20"/>
          <w:color w:val="auto"/>
        </w:rPr>
      </w:pPr>
    </w:p>
    <w:p>
      <w:pPr>
        <w:ind w:left="580" w:hanging="79"/>
        <w:spacing w:after="0" w:line="263" w:lineRule="auto"/>
        <w:rPr>
          <w:sz w:val="20"/>
          <w:szCs w:val="20"/>
          <w:color w:val="auto"/>
        </w:rPr>
      </w:pPr>
      <w:r>
        <w:rPr>
          <w:rFonts w:ascii="Arial" w:cs="Arial" w:eastAsia="Arial" w:hAnsi="Arial"/>
          <w:sz w:val="21"/>
          <w:szCs w:val="21"/>
          <w:color w:val="auto"/>
        </w:rPr>
        <w:t>•</w:t>
      </w:r>
      <w:r>
        <w:rPr>
          <w:rFonts w:ascii="Times New Roman" w:cs="Times New Roman" w:eastAsia="Times New Roman" w:hAnsi="Times New Roman"/>
          <w:sz w:val="17"/>
          <w:szCs w:val="17"/>
          <w:color w:val="auto"/>
        </w:rPr>
        <w:t>in-house accounting personnel have training to ensure they have the relevant expertise related to technical accounting matters, particularly in</w:t>
      </w:r>
      <w:r>
        <w:rPr>
          <w:rFonts w:ascii="Arial" w:cs="Arial" w:eastAsia="Arial" w:hAnsi="Arial"/>
          <w:sz w:val="21"/>
          <w:szCs w:val="21"/>
          <w:color w:val="auto"/>
        </w:rPr>
        <w:t xml:space="preserve"> </w:t>
      </w:r>
      <w:r>
        <w:rPr>
          <w:rFonts w:ascii="Times New Roman" w:cs="Times New Roman" w:eastAsia="Times New Roman" w:hAnsi="Times New Roman"/>
          <w:sz w:val="17"/>
          <w:szCs w:val="17"/>
          <w:color w:val="auto"/>
        </w:rPr>
        <w:t>revenue recognition;</w:t>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there is greater segregation of duties and procedures to emphasize analysis of accounts;</w:t>
      </w:r>
    </w:p>
    <w:p>
      <w:pPr>
        <w:spacing w:after="0" w:line="89" w:lineRule="exact"/>
        <w:rPr>
          <w:sz w:val="20"/>
          <w:szCs w:val="20"/>
          <w:color w:val="auto"/>
        </w:rPr>
      </w:pPr>
    </w:p>
    <w:p>
      <w:pPr>
        <w:ind w:left="480" w:right="2100"/>
        <w:spacing w:after="0" w:line="334" w:lineRule="auto"/>
        <w:rPr>
          <w:sz w:val="20"/>
          <w:szCs w:val="20"/>
          <w:color w:val="auto"/>
        </w:rPr>
      </w:pPr>
      <w:r>
        <w:rPr>
          <w:rFonts w:ascii="Times New Roman" w:cs="Times New Roman" w:eastAsia="Times New Roman" w:hAnsi="Times New Roman"/>
          <w:sz w:val="18"/>
          <w:szCs w:val="18"/>
          <w:color w:val="auto"/>
        </w:rPr>
        <w:t>•many existing and proven Maiden controls are being integrated throughout the Kestrel Group to ensure full compliance; •Kestrel IT will be incorporated into the Maiden information technology general controls environment.</w:t>
      </w: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We believe the actions described above will be sufficient to remediate the identified material weakness and strengthen our internal control over financial reporting. However, the new and enhanced controls have not operated for a sufficient amount of time to conclude that the material weakness has been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remediated. Further, the integration of the legacy Kestrel and Maiden businesses can also expose us to risks that material weaknesses may not be promptly resolved, potentially delaying completion of our consolidated internal control assessment and impairing our financial reporting. We will continue to monitor the effectiveness of these controls and will make any further changes management determines appropriate.</w:t>
      </w:r>
    </w:p>
    <w:p>
      <w:pPr>
        <w:spacing w:after="0" w:line="62" w:lineRule="exact"/>
        <w:rPr>
          <w:sz w:val="20"/>
          <w:szCs w:val="20"/>
          <w:color w:val="auto"/>
        </w:rPr>
      </w:pPr>
    </w:p>
    <w:p>
      <w:pPr>
        <w:jc w:val="both"/>
        <w:ind w:firstLine="241"/>
        <w:spacing w:after="0" w:line="227"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Further, the design of a control system must reflect the fact that</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there are resource constraints, and the benefits of controls must be considered relative to their costs. Because of the inherent limitations in all control systems, no evaluation of controls can provide an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Except as noted below, the Company is not a party to any material legal proceedings. From time to time, the Company is subject to routine legal</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proceedings, including arbitration, arising in the ordinary course of business. These legal proceedings generally relate to claims asserted by or against the Company in the ordinary course of insurance or reinsurance operations. Based on the Company's opinion, the eventual outcome of these legal proceedings is not expected to have a material adverse effect on its financial condition or results of operations.</w:t>
      </w:r>
    </w:p>
    <w:p>
      <w:pPr>
        <w:spacing w:after="0" w:line="62"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A putative class action complaint was filed against Maiden Holdings, Arturo M. Raschbaum, Karen L. Schmitt, and John M. Marshaleck in the United States District Court for the District of New Jersey on February 11, 2019. On February 19, 2020, the Court appointed lead plaintiffs, and on May 1, 2020,</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lead plaintiffs filed an amended class action complaint (the “Amended Complaint”). The Amended Complaint asserts violations of Section 10(b) of the Exchange Act and Rule 10b-5 (and Section 20(a) for control person liability) arising in large part from allegations that Maiden failed to take adequate loss</w:t>
      </w:r>
    </w:p>
    <w:p>
      <w:pPr>
        <w:spacing w:after="0" w:line="219" w:lineRule="auto"/>
        <w:rPr>
          <w:sz w:val="20"/>
          <w:szCs w:val="20"/>
          <w:color w:val="auto"/>
        </w:rPr>
      </w:pPr>
      <w:r>
        <w:rPr>
          <w:rFonts w:ascii="Times New Roman" w:cs="Times New Roman" w:eastAsia="Times New Roman" w:hAnsi="Times New Roman"/>
          <w:sz w:val="18"/>
          <w:szCs w:val="18"/>
          <w:color w:val="auto"/>
        </w:rPr>
        <w:t>reserves in connection with reinsurance provided to AmTrust. Plaintiffs further claim that certain of Maiden Holdings’ representations concerning its</w:t>
      </w:r>
    </w:p>
    <w:p>
      <w:pPr>
        <w:jc w:val="both"/>
        <w:spacing w:after="0" w:line="222" w:lineRule="auto"/>
        <w:rPr>
          <w:sz w:val="20"/>
          <w:szCs w:val="20"/>
          <w:color w:val="auto"/>
        </w:rPr>
      </w:pPr>
      <w:r>
        <w:rPr>
          <w:rFonts w:ascii="Times New Roman" w:cs="Times New Roman" w:eastAsia="Times New Roman" w:hAnsi="Times New Roman"/>
          <w:sz w:val="17"/>
          <w:szCs w:val="17"/>
          <w:color w:val="auto"/>
        </w:rPr>
        <w:t>business, underwriting and financial statements were rendered false by the allegedly inadequate loss reserves, that these misrepresentations inflated the price of Maiden Holdings' common stock, and that when the truth about the misrepresentations was revealed, the Company’s stock price fell, causing Plaintiffs to</w:t>
      </w:r>
    </w:p>
    <w:p>
      <w:pPr>
        <w:jc w:val="both"/>
        <w:spacing w:after="0" w:line="209" w:lineRule="auto"/>
        <w:rPr>
          <w:sz w:val="20"/>
          <w:szCs w:val="20"/>
          <w:color w:val="auto"/>
        </w:rPr>
      </w:pPr>
      <w:r>
        <w:rPr>
          <w:rFonts w:ascii="Times New Roman" w:cs="Times New Roman" w:eastAsia="Times New Roman" w:hAnsi="Times New Roman"/>
          <w:sz w:val="18"/>
          <w:szCs w:val="18"/>
          <w:color w:val="auto"/>
        </w:rPr>
        <w:t>incur losses. On September 11, 2020, a motion to dismiss was filed on behalf of all Defendants. On August 6, 2021, the Court issued an order denying, in part, Defendants’ motion to dismiss, ordering Plaintiffs to file a shorter amended complaint no later than August 20, 2021, and permitting discovery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 on a limited basis.</w:t>
      </w:r>
    </w:p>
    <w:p>
      <w:pPr>
        <w:spacing w:after="0" w:line="68"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On February 7, 2023, the District Court denied Plaintiffs’ motion for reconsideration of the District Court’s decision denying Plaintiffs’ objection to the Magistrate Judge’s December 2021 ruling on discovery. On May 26, 2023, the Company filed a Renewed Motion to Dismiss the Second Amended</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Complaint or, in the Alternative, for Summary Judgment, which has been fully briefed. On December 19, 2023, the U.S. District Court for the District of New Jersey granted summary judgment on plaintiffs’ claim for securities fraud under Section 10(b) of the Securities Exchange Act to Maiden Holdings, Ltd.</w:t>
      </w:r>
    </w:p>
    <w:p>
      <w:pPr>
        <w:spacing w:after="0" w:line="217" w:lineRule="auto"/>
        <w:rPr>
          <w:sz w:val="20"/>
          <w:szCs w:val="20"/>
          <w:color w:val="auto"/>
        </w:rPr>
      </w:pPr>
      <w:r>
        <w:rPr>
          <w:rFonts w:ascii="Times New Roman" w:cs="Times New Roman" w:eastAsia="Times New Roman" w:hAnsi="Times New Roman"/>
          <w:sz w:val="18"/>
          <w:szCs w:val="18"/>
          <w:color w:val="auto"/>
        </w:rPr>
        <w:t>and individual defendants Arturo Raschbaum, Karen Schmitt, and John Marshaleck. The Court held that the factual record failed to support, as a matter of</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law, plaintiffs’ allegations that the defendants had made false statements regarding the Company’s loss reserves. The Court also dismissed plaintiffs’ claims that the individual defendants were liable as control persons under Section 20(a) of the Securities Exchange Act for any such alleged false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Plaintiffs have appealed to the United States Court of Appeals for the Third Circuit.</w:t>
      </w:r>
    </w:p>
    <w:p>
      <w:pPr>
        <w:spacing w:after="0" w:line="55" w:lineRule="exact"/>
        <w:rPr>
          <w:sz w:val="20"/>
          <w:szCs w:val="20"/>
          <w:color w:val="auto"/>
        </w:rPr>
      </w:pPr>
    </w:p>
    <w:p>
      <w:pPr>
        <w:jc w:val="both"/>
        <w:ind w:firstLine="241"/>
        <w:spacing w:after="0" w:line="242" w:lineRule="auto"/>
        <w:rPr>
          <w:sz w:val="20"/>
          <w:szCs w:val="20"/>
          <w:color w:val="auto"/>
        </w:rPr>
      </w:pPr>
      <w:r>
        <w:rPr>
          <w:rFonts w:ascii="Times New Roman" w:cs="Times New Roman" w:eastAsia="Times New Roman" w:hAnsi="Times New Roman"/>
          <w:sz w:val="17"/>
          <w:szCs w:val="17"/>
          <w:color w:val="auto"/>
        </w:rPr>
        <w:t>On December 26, 2024, WUSO Holding Corporation and 683 Capital Partners filed a lawsuit against Maiden Holdings North America, Ltd. and Maiden Holdings in the Supreme Court of the State of New York, County of New York, captioned WUSO Holding Corporation and 683 Capital Partners, LP v.</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Maiden Holdings North America, Ltd. and Maiden Holdings, Ltd., Index No. 659861/2024. The complaint alleges that Maiden’s sale of Maiden Reinsurance North America, Inc., which closed approximately six years ago from the date of the complaint, breached a sole provision of Maiden’s indenture</w:t>
      </w:r>
    </w:p>
    <w:p>
      <w:pPr>
        <w:jc w:val="both"/>
        <w:spacing w:after="0" w:line="222" w:lineRule="auto"/>
        <w:rPr>
          <w:sz w:val="20"/>
          <w:szCs w:val="20"/>
          <w:color w:val="auto"/>
        </w:rPr>
      </w:pPr>
      <w:r>
        <w:rPr>
          <w:rFonts w:ascii="Times New Roman" w:cs="Times New Roman" w:eastAsia="Times New Roman" w:hAnsi="Times New Roman"/>
          <w:sz w:val="17"/>
          <w:szCs w:val="17"/>
          <w:color w:val="auto"/>
        </w:rPr>
        <w:t>governing its 2013 Senior Notes. Plaintiffs allege that principal and interest payable under the 2013 Senior Notes are due currently, rather than upon the stated maturity date of the 2013 Senior Notes. Maiden believes it has substantial procedural and substantive defenses to the asserted claims, and it intends to</w:t>
      </w:r>
    </w:p>
    <w:p>
      <w:pPr>
        <w:jc w:val="both"/>
        <w:spacing w:after="0" w:line="209" w:lineRule="auto"/>
        <w:rPr>
          <w:sz w:val="20"/>
          <w:szCs w:val="20"/>
          <w:color w:val="auto"/>
        </w:rPr>
      </w:pPr>
      <w:r>
        <w:rPr>
          <w:rFonts w:ascii="Times New Roman" w:cs="Times New Roman" w:eastAsia="Times New Roman" w:hAnsi="Times New Roman"/>
          <w:sz w:val="18"/>
          <w:szCs w:val="18"/>
          <w:color w:val="auto"/>
        </w:rPr>
        <w:t>vigorously defend against these claims. On June 17, 2025, the Supreme Court of the State of New York, County of New York, considered and granted Maiden’s motion to dismiss the complaint filed in this case. Plaintiffs may pursue an appeal of this decision and also stated that they would take steps to</w:t>
      </w:r>
    </w:p>
    <w:p>
      <w:pPr>
        <w:spacing w:after="0" w:line="219" w:lineRule="auto"/>
        <w:rPr>
          <w:sz w:val="20"/>
          <w:szCs w:val="20"/>
          <w:color w:val="auto"/>
        </w:rPr>
      </w:pPr>
      <w:r>
        <w:rPr>
          <w:rFonts w:ascii="Times New Roman" w:cs="Times New Roman" w:eastAsia="Times New Roman" w:hAnsi="Times New Roman"/>
          <w:sz w:val="18"/>
          <w:szCs w:val="18"/>
          <w:color w:val="auto"/>
        </w:rPr>
        <w:t>comply with the no-action clause requesting the indenture trustee to commence a related action. On August 6, 2025, plaintiffs filed a notice of appeal and</w:t>
      </w:r>
    </w:p>
    <w:p>
      <w:pPr>
        <w:jc w:val="both"/>
        <w:spacing w:after="0" w:line="222" w:lineRule="auto"/>
        <w:rPr>
          <w:sz w:val="20"/>
          <w:szCs w:val="20"/>
          <w:color w:val="auto"/>
        </w:rPr>
      </w:pPr>
      <w:r>
        <w:rPr>
          <w:rFonts w:ascii="Times New Roman" w:cs="Times New Roman" w:eastAsia="Times New Roman" w:hAnsi="Times New Roman"/>
          <w:sz w:val="17"/>
          <w:szCs w:val="17"/>
          <w:color w:val="auto"/>
        </w:rPr>
        <w:t>have six months to perfect their appeal in the Appellate Division. To the extent that plaintiffs do perfect and pursue their appeal of this decision, Maiden will oppose any such action. In addition to filing the notice of appeal, on August 12, 2025, plaintiffs filed a separate complaint against Maiden in the Supreme</w:t>
      </w:r>
    </w:p>
    <w:p>
      <w:pPr>
        <w:jc w:val="both"/>
        <w:spacing w:after="0" w:line="209" w:lineRule="auto"/>
        <w:rPr>
          <w:sz w:val="20"/>
          <w:szCs w:val="20"/>
          <w:color w:val="auto"/>
        </w:rPr>
      </w:pPr>
      <w:r>
        <w:rPr>
          <w:rFonts w:ascii="Times New Roman" w:cs="Times New Roman" w:eastAsia="Times New Roman" w:hAnsi="Times New Roman"/>
          <w:sz w:val="18"/>
          <w:szCs w:val="18"/>
          <w:color w:val="auto"/>
        </w:rPr>
        <w:t>Court of the State of New York, County of New York, as opposed to filing an amended complaint in the existing action. In the new complaint, plaintiffs allege that they have standing and authorization to bring suit, contending that they satisfied the no-action clause in the indenture because, on June 10, 2025,</w:t>
      </w:r>
    </w:p>
    <w:p>
      <w:pPr>
        <w:spacing w:after="0" w:line="232" w:lineRule="auto"/>
        <w:rPr>
          <w:sz w:val="20"/>
          <w:szCs w:val="20"/>
          <w:color w:val="auto"/>
        </w:rPr>
      </w:pPr>
      <w:r>
        <w:rPr>
          <w:rFonts w:ascii="Times New Roman" w:cs="Times New Roman" w:eastAsia="Times New Roman" w:hAnsi="Times New Roman"/>
          <w:sz w:val="17"/>
          <w:szCs w:val="17"/>
          <w:color w:val="auto"/>
        </w:rPr>
        <w:t>they requested, on behalf of holders of at least 25% of the outstanding 2013 Senior Notes, that the indenture trustee commence a related action, accompanied</w:t>
      </w:r>
    </w:p>
    <w:p>
      <w:pPr>
        <w:jc w:val="both"/>
        <w:spacing w:after="0" w:line="224" w:lineRule="auto"/>
        <w:rPr>
          <w:sz w:val="20"/>
          <w:szCs w:val="20"/>
          <w:color w:val="auto"/>
        </w:rPr>
      </w:pPr>
      <w:r>
        <w:rPr>
          <w:rFonts w:ascii="Times New Roman" w:cs="Times New Roman" w:eastAsia="Times New Roman" w:hAnsi="Times New Roman"/>
          <w:sz w:val="18"/>
          <w:szCs w:val="18"/>
          <w:color w:val="auto"/>
        </w:rPr>
        <w:t>by an offer to indemnify, and the indenture trustee did not institute such proceedings within 60 days of the request. Maiden believes it has substantial procedural and substantive defenses to the asserted claims, and it intends to vigorously defend against these claims.</w:t>
      </w:r>
    </w:p>
    <w:p>
      <w:pPr>
        <w:spacing w:after="0" w:line="63"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We believe all of the above claims are without merit and we intend to vigorously defend ourselves. It is possible that additional lawsuits will be filed against the Company, its subsidiaries and its respective officers due to the diminution in value of our securities as a result of our operating results and financial condition. It is currently uncertain as to the effect of such litigation on our business, operating results and financial condition.</w:t>
      </w:r>
    </w:p>
    <w:p>
      <w:pPr>
        <w:spacing w:after="0" w:line="62" w:lineRule="exact"/>
        <w:rPr>
          <w:sz w:val="20"/>
          <w:szCs w:val="20"/>
          <w:color w:val="auto"/>
        </w:rPr>
      </w:pPr>
    </w:p>
    <w:p>
      <w:pPr>
        <w:jc w:val="both"/>
        <w:ind w:right="20" w:firstLine="241"/>
        <w:spacing w:after="0" w:line="237" w:lineRule="auto"/>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Part I, Item 1 - Notes to Condensed Consolidated Financial Statements (unaudited) Note 11. Commitments and Contingencies</w:t>
      </w:r>
      <w:r>
        <w:rPr>
          <w:rFonts w:ascii="Times New Roman" w:cs="Times New Roman" w:eastAsia="Times New Roman" w:hAnsi="Times New Roman"/>
          <w:sz w:val="18"/>
          <w:szCs w:val="18"/>
          <w:color w:val="auto"/>
        </w:rPr>
        <w:t>" for a summary on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79" w:lineRule="exact"/>
        <w:rPr>
          <w:sz w:val="20"/>
          <w:szCs w:val="20"/>
          <w:color w:val="auto"/>
        </w:rPr>
      </w:pPr>
    </w:p>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Our business is subject to a number of risks that could have a material adverse effect on our business, results of operations, financial condition and/or liquidity and that could cause our operating results to vary significantly from period to period. The risks described below are not the only risks we face.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Additional risks and uncertainties not currently known to us or that we currently deem to be immaterial also could have a material adverse effect on our business, results of operations, financial condition and/or liquidity.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4" w:name="page85"/>
    <w:bookmarkEnd w:id="84"/>
    <w:p>
      <w:pPr>
        <w:jc w:val="both"/>
        <w:ind w:firstLine="241"/>
        <w:spacing w:after="0" w:line="221" w:lineRule="auto"/>
        <w:rPr>
          <w:sz w:val="20"/>
          <w:szCs w:val="20"/>
          <w:color w:val="auto"/>
        </w:rPr>
      </w:pPr>
      <w:r>
        <w:rPr>
          <w:rFonts w:ascii="Times New Roman" w:cs="Times New Roman" w:eastAsia="Times New Roman" w:hAnsi="Times New Roman"/>
          <w:sz w:val="18"/>
          <w:szCs w:val="18"/>
          <w:color w:val="auto"/>
        </w:rPr>
        <w:t>The combined company’s ("Kestrel Group") business, financial condition and results of operations are subject to various risks and uncertainties as noted below, which may affect the value of its securities. In addition to the risks discussed below, there may be additional risks not presently known to us or that</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we currently deem less significant that also may adversely affect its business, financial condition and results of operations, perhaps materially. Some statements in the risk factors constitute forward-looking statements. You should also read and consider the risk factors associated with the businesses of Maiden because these risk factors may affect the operations and financial results of Kestrel Group.</w:t>
      </w:r>
    </w:p>
    <w:p>
      <w:pPr>
        <w:spacing w:after="0" w:line="1" w:lineRule="exact"/>
        <w:rPr>
          <w:sz w:val="20"/>
          <w:szCs w:val="20"/>
          <w:color w:val="auto"/>
        </w:rPr>
      </w:pPr>
    </w:p>
    <w:p>
      <w:pPr>
        <w:jc w:val="both"/>
        <w:ind w:firstLine="241"/>
        <w:spacing w:after="0" w:line="217" w:lineRule="auto"/>
        <w:rPr>
          <w:sz w:val="20"/>
          <w:szCs w:val="20"/>
          <w:color w:val="auto"/>
        </w:rPr>
      </w:pPr>
      <w:r>
        <w:rPr>
          <w:rFonts w:ascii="Times New Roman" w:cs="Times New Roman" w:eastAsia="Times New Roman" w:hAnsi="Times New Roman"/>
          <w:sz w:val="18"/>
          <w:szCs w:val="18"/>
          <w:color w:val="auto"/>
        </w:rPr>
        <w:t xml:space="preserve">These risk factors may be found under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 xml:space="preserve"> in Maiden’s Annual Report on Form 10-K for the year ended December 31, 2024, which is on file with the SEC. Additional risks and uncertainties not presently known to Maiden, Kestrel or Kestrel Group or that are not currently believed to be important also may adversely affect Kestrel Group.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Kestrel Group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Kestrel Group may not be able to recover amounts due from its reinsurers, which would adversely affect its financial condition.</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Kestrel Group will be a specialty program group offering fronting arrangements to domestic and foreign insurers that want to access specific U.S. property</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and casualty insurance business, which are collectively referred to as “capacity providers,” and will generally reinsure on a quota share basis up to 100% of the risk under these policies with these carriers in exchange for ceding fees. Kestrel Group will write business initially through the AmTrust Insurance Companies, all subsidiaries of AmTrust through which Kestrel has been writing its business, and the combined company will have an option to acquire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AmTrust Insurance Companies from AmTrust.</w:t>
      </w:r>
    </w:p>
    <w:p>
      <w:pPr>
        <w:spacing w:after="0" w:line="55" w:lineRule="exact"/>
        <w:rPr>
          <w:sz w:val="20"/>
          <w:szCs w:val="20"/>
          <w:color w:val="auto"/>
        </w:rPr>
      </w:pPr>
    </w:p>
    <w:p>
      <w:pPr>
        <w:jc w:val="both"/>
        <w:ind w:firstLine="241"/>
        <w:spacing w:after="0" w:line="234" w:lineRule="auto"/>
        <w:rPr>
          <w:sz w:val="20"/>
          <w:szCs w:val="20"/>
          <w:color w:val="auto"/>
        </w:rPr>
      </w:pPr>
      <w:r>
        <w:rPr>
          <w:rFonts w:ascii="Times New Roman" w:cs="Times New Roman" w:eastAsia="Times New Roman" w:hAnsi="Times New Roman"/>
          <w:sz w:val="17"/>
          <w:szCs w:val="17"/>
          <w:color w:val="auto"/>
        </w:rPr>
        <w:t>Kestrel Group will reinsure a substantial portion of the underwriting and operating risks in connection with its fronting arrangements to its capacity providers. Kestrel Group will generally select either well capitalized, highly rated authorized capacity providers or will require the capacity providers to post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collateral and/or obtain guarantees to secure the reinsured risks. However, if any of the capacity providers becomes insolvent or otherwise refuse to reimburse losses paid to these policyholders in a timely manner, the corresponding impact to the combined company’s ability to continue writing business through the AmTrust Insurance Companies could materially adversely affect Kestrel Group’s financial condition and results of operations.</w:t>
      </w:r>
    </w:p>
    <w:p>
      <w:pPr>
        <w:spacing w:after="0" w:line="62"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While Kestrel Group generally will not hold net reserves for losses or loss adjustment expenses (“LAE”) that might arise as a result of claims made under the policies (unless it participates on a quota share basis to a limited extent in certain programs), it may hold collateral from capacity providers who may not be well capitalized, highly rated, or authorized to protect against any such capacity provider’s failure to pay claims. However, collateral may not be</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sufficient to cover the combined company’s liability for these claims, and Kestrel Group may not be able to cause the capacity providers to deliver additional collateral.</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Although the AmTrust Insurance Companies will ultimately take the risk of insolvency or other failure to pay by a capacity provider, any adverse impact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to the business, financial condition, results of operations and prospects of the AmTrust Insurance Companies may have an adverse impact on Kestrel Group’s financial condition and results of operations as Kestrel Group is reliant on the AmTrust Insurance Companies to write its business. For example, any risks or difficulties that result in a negative impact on the financial strength ratings, licenses or reputation of any of the AmTrust Insurance Companies may</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limit or restrict Kestrel Group’s ability to continue to write business on behalf of its capacity providers, which in turn may have a material and adverse impact on Kestrel Group’s ability to generate fee revenues.</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market conditions cause Kestrel Group’s reinsurance to be more costly or difficult to obtain, it may be required to bear increased risks or reduce the level of its underwriting commitments.</w:t>
      </w:r>
    </w:p>
    <w:p>
      <w:pPr>
        <w:spacing w:after="0" w:line="39"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Kestrel Group will provide access to the U.S. property and casualty insurance markets in exchange for ceding fees through its fronting business by providing access to the AmTrust Insurance Companies with expansive licensing and an “A-” (Excellent) rating by A.M. Best through its relationship with AmTrust. As part of its business strategy, Kestrel Group will reinsure a substantial portion of underwriting risk, credit risk and business risk related to its</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fronting business. Kestrel Group may be unable to maintain its current reinsurance arrangements or to obtain other reinsurance in adequate amounts and at favorable rates, particularly if reinsurers become unwilling or unable to support its specialized fronting model in the future. A decline in the availability of reinsurance, increases in the cost of reinsurance or a decreased level of activity by general agents could limit the amount of fronting business the combined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company could write through the AmTrust Insurance Companies and materially and adversely affect its business, financial condition, results of operations and prospects.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Regulators may challenge Kestrel Group’s use of fronting arrangements in states in which its capacity providers are not licensed.</w:t>
      </w:r>
    </w:p>
    <w:p>
      <w:pPr>
        <w:spacing w:after="0" w:line="92" w:lineRule="exact"/>
        <w:rPr>
          <w:sz w:val="20"/>
          <w:szCs w:val="20"/>
          <w:color w:val="auto"/>
        </w:rPr>
      </w:pPr>
    </w:p>
    <w:p>
      <w:pPr>
        <w:jc w:val="both"/>
        <w:ind w:firstLine="241"/>
        <w:spacing w:after="0" w:line="214" w:lineRule="auto"/>
        <w:rPr>
          <w:sz w:val="20"/>
          <w:szCs w:val="20"/>
          <w:color w:val="auto"/>
        </w:rPr>
      </w:pPr>
      <w:r>
        <w:rPr>
          <w:rFonts w:ascii="Times New Roman" w:cs="Times New Roman" w:eastAsia="Times New Roman" w:hAnsi="Times New Roman"/>
          <w:sz w:val="18"/>
          <w:szCs w:val="18"/>
          <w:color w:val="auto"/>
        </w:rPr>
        <w:t>Kestrel Group will enter into fronting arrangements with general agents and domestic and foreign insurers that want to access specific U.S. property and casualty insurance business in states in which such capacity providers are not licensed or are not authorized to write particular lines of insurance. The capacity providers or the general agents administer the business, settle all claims and reinsure a substantial portion of the risks. Kestrel Group will receive</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ceding fees but generally will not share in the profits or losses of the business it writes for the capacity providers unless Maiden Reinsurance participates on a quota share basis to a limited extent in certain programs. Some state insurance regulators may object to such fronting arrangements. In certain states, insurance regulators have the authority to prohibit an authorized insurer from acting as an issuing carrier for an unauthorized insurer. In addition, insurance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departments in states without such prohibition could still deem the assuming insurer as transacting insurance business without a license and the issuing carrier as aiding and abetting the unauthorized sale of insurance.</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If regulators in any of the states where Kestrel Group conducts its fronting business were to prohibit or limit the arrangement, Kestrel Group would be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prevented or limited from conducting the business for which a capacity provider is not authorized in those states, unless and until such capacity provider is able to obtain the necessary licenses. This could have a material and adverse effect on Kestrel Group’s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5" w:name="page86"/>
    <w:bookmarkEnd w:id="85"/>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While it is expected that the fronting business will be ceded to a number of unaffiliated reinsurers, Maiden Reinsurance may be ceded a small percentage of the reinsurance, subject to prior approval from the Vermont Department of Financial Regulation ("Vermont DFR") of Kestrel Group’s ability to reinsure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business that it expects to underwrite. If the Vermont DFR fails to provide this approval, or places certain limitations on such approval, Kestrel Group may not be able to operate its fronting business efficiently, which could reduce Kestrel Group’s effectiveness in the marketplace.</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addition, the Vermont DFR may place certain restrictions on Kestrel Group’s fronting business, such as requiring Maiden Reinsurance to no longer be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licensed as a captive or affiliated reinsurer. Such limitations could further impact the combined company’s ability to operate its fronting business, which could have a material and adverse effect on Kestrel Group’s business, financial condition, results of operations and prospects.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Notwithstanding these state law restrictions on ceding insurers, the Nonadmitted and Reinsurance Reform Act (“NRRA”) contained in the Dodd-Frank</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Wall Street Reform and Consumer Protection Act (“Dodd-Frank Act”) provides that all laws of a ceding insurer’s nondomestic state (except those with respect to taxes and assessments on insurers or insurance income) are preempted to the extent that they otherwise apply the laws of the state to reinsurance agreements of nondomestic ceding insurers. The NRRA places the power to regulate reinsurer financial solvency primarily with the reinsurer’s domiciliary</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state and requires credit for reinsurance to be recognized for a nondomestic ceding company if it is allowed by the ceding company’s domiciliary state. A state insurance regulator might not view the NRRA as preempting a state regulator’s determination that an unauthorized reinsurer must obtain a license or that any statute prohibits the combined company from doing a fronting business. However, such a determination or a conflict between state law and the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NRRA could cause regulatory uncertainty about its fronting business, which could have a material and adverse effect on its business, financial condition, results of operations and prospects.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insurance regulation could materially adversely affect Kestrel Group’s business.</w:t>
      </w:r>
    </w:p>
    <w:p>
      <w:pPr>
        <w:spacing w:after="0" w:line="92" w:lineRule="exact"/>
        <w:rPr>
          <w:sz w:val="20"/>
          <w:szCs w:val="20"/>
          <w:color w:val="auto"/>
        </w:rPr>
      </w:pPr>
    </w:p>
    <w:p>
      <w:pPr>
        <w:jc w:val="both"/>
        <w:ind w:firstLine="161"/>
        <w:spacing w:after="0" w:line="227" w:lineRule="auto"/>
        <w:rPr>
          <w:sz w:val="20"/>
          <w:szCs w:val="20"/>
          <w:color w:val="auto"/>
        </w:rPr>
      </w:pPr>
      <w:r>
        <w:rPr>
          <w:rFonts w:ascii="Times New Roman" w:cs="Times New Roman" w:eastAsia="Times New Roman" w:hAnsi="Times New Roman"/>
          <w:sz w:val="17"/>
          <w:szCs w:val="17"/>
          <w:color w:val="auto"/>
        </w:rPr>
        <w:t>Some states have adopted changes to their insurance laws and regulations that permit insurers to obtain credit for reinsurance from reinsurers who are able to post reduced collateral if they satisfy certain requirements, including specific rating criteria. Kestrel Group will require many of its capacity providers to post collateral to secure their reinsurance obligations. If regulatory changes are adopted in the states in which the AmTrust Insurance Companies are</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domiciled that permit non-admitted reinsurers to post reduced or no collateral in order for the insurer to obtain credit for that reinsurance, it may become more difficult for Kestrel Group to obtain collateral from its capacity providers who meet the applicable rating agency requirements, which could materially and adversely affect the amount of business that the combined company can write through the AmTrust Insurance Companies.</w:t>
      </w:r>
    </w:p>
    <w:p>
      <w:pPr>
        <w:spacing w:after="0" w:line="62"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In addition, state insurance regulators maintain broad discretion to deny, delay, suspend, non-renew or revoke licenses for various reasons, including violation of regulations. In some instances, where there is uncertainty as to applicability, Kestrel Group may follow practices based on interpretations of regulations or practices that the combined company believes generally to be followed by the industry. These practices may turn out to be different from the</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interpretations of regulatory authorities. If Kestrel Group does not have the requisite licenses and approvals or does not comply with applicable regulatory requirements, state insurance regulators could preclude or temporarily suspend the combined company from carrying on some or all regulated activities or could otherwise penalize the combined company. In particular, Kestrel Insurance Agency, LLC (“Kestrel Insurance Agency”), which is licensed as a</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reinsurance broker and general lines agent by the Texas Department of Insurance, has entered into a management agreement with AmTrust that governs Kestrel Group’s fronting arrangement with each of the AmTrust Insurance Companies. If either of these licenses is suspended, non-renewed or revoked, Kestrel Group may be unable to maintain its fronting arrangement with AmTrust and, further, may be unable to exercise the option to acquire the AmTrust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Insurance Companies from AmTrust. This could adversely affect Kestrel Group’s ability to operate its business. Further, changes in the level of regulation of the insurance industry or changes in laws or regulations themselves or interpretations by regulatory authorities could interfere with Kestrel Group’s operations and require it to bear additional costs of compliance, which could adversely affect Kestrel Group’s ability to operate its business.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Insurers are also regulated by state insurance departments for solvency issues and are subject to reserve requirements. Kestrel Group cannot guarantee that</w:t>
      </w:r>
    </w:p>
    <w:p>
      <w:pPr>
        <w:spacing w:after="0" w:line="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all of the AmTrust Insurance Companies comply with regulations instituted by state insurance departments. Kestrel Group may need to expend resources to address questions or concerns regarding its relationships with the AmTrust Insurance Companies, diverting management resources away from operating its business.</w:t>
      </w:r>
    </w:p>
    <w:p>
      <w:pPr>
        <w:spacing w:after="0" w:line="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Compliance by Kestrel Group’s insurance subsidiaries with the legal and regulatory requirements to which they are subject is expensive. Any failure to comply could have a material adverse effect on Kestrel Group’s business.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Kestrel Group’s insurance subsidiaries are required to comply with a wide variety of laws and regulations applicable to insurance or reinsurance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companies, both in the jurisdictions in which they are organized and where they sell their insurance and reinsurance products. The insurance and regulatory environment has become subject to increased scrutiny in many jurisdictions, including the U.S., various states within the U.S. and the EU. In the past, there have been Congressional and other initiatives in the U.S. regarding increased supervision and regulation of the insurance industry. It is not possible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 the future impact of changes in laws and regulations on Kestrel Group’s operations.</w:t>
      </w:r>
    </w:p>
    <w:p>
      <w:pPr>
        <w:spacing w:after="0" w:line="55"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Compliance with applicable laws and regulations is time-consuming and personnel-intensive, and changes in these laws and regulations may materially increase costs of compliance. In the future, states may make existing insurance laws and regulation more restrictive or enact new restrictive laws. In such</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event, the combined company may seek to cut down its business in, or withdraw entirely from, these states. Additionally, from time to time, the United States Congress and certain federal agencies investigate the current condition of the insurance industry to determine whether federal regulation is necessary. Currently, the U.S. federal government does not directly regulate the property and casualty insurance business. However, Dodd-Frank Act established a</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Federal Insurance Office (“FIO”) within the Department of the Treasury. The FIO initially is charged with monitoring all aspects of the insurance industry (other than health insurance, certain long-term care insurance and crop insurance), gathering data and developing methods to modernize and improve the insurance regulatory system in the United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6" w:name="page87"/>
    <w:bookmarkEnd w:id="86"/>
    <w:p>
      <w:pPr>
        <w:jc w:val="both"/>
        <w:spacing w:after="0" w:line="221" w:lineRule="auto"/>
        <w:rPr>
          <w:sz w:val="20"/>
          <w:szCs w:val="20"/>
          <w:color w:val="auto"/>
        </w:rPr>
      </w:pPr>
      <w:r>
        <w:rPr>
          <w:rFonts w:ascii="Times New Roman" w:cs="Times New Roman" w:eastAsia="Times New Roman" w:hAnsi="Times New Roman"/>
          <w:sz w:val="18"/>
          <w:szCs w:val="18"/>
          <w:color w:val="auto"/>
        </w:rPr>
        <w:t>States. The FIO continues to support the current state-based regulatory regime but will consider federal regulation should the states fail to take steps to greater uniformity. The combined company cannot fully predict the impacts of any new legislation on its business, financial condition and results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55"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In addition, Kestrel Group’s subsidiaries may not always be able to obtain or maintain necessary licenses, permits, authorizations or accreditations. They also may not be able to fully comply with, or to obtain appropriate exemptions from, the laws and regulations applicable to them. Any failure to comply with</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applicable law or to obtain appropriate exemptions could result in restrictions on either the ability of the company in question, as well as potentially its affiliates, to do business in one or more of the jurisdictions in which they operate or on brokers on which the combined company may rely. In addition, any such failure to comply with applicable laws or to obtain appropriate exemptions could result in the imposition of fines or other sanctions. Any of these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could have a material adverse effect on the combined company’s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Kestrel Group may change its underwriting guidelines or strategy without shareholder approval.</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Kestrel Group’s management team has the authority to change its underwriting guidelines or strategy without notice to shareholders and without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shareholder approval. As a result, Kestrel Group may make fundamental changes to its operations without shareholder approval, which could result in Kestrel Group pursuing a strategy or implementing underwriting guidelines that may be materially different from the current strategy and underwriting guidelines.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Kestrel Group has a limited operating history and may not be able to manage its growth effectively</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Kestrel Group intends to grow its business in the future, which could require additional capital, systems development and skilled personnel. However, the limited operating history of Kestrel Group may make it difficult to evaluate its current capital structure and future capital requirements, which may have an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adverse impact on potential strategic initiatives. Kestrel Group will encounter risks and difficulties frequently experienced by growing companies in rapidly changing industries, including increasing and unforeseen expenses as it continues to grow its business. The inability of Kestrel Group to manage these risks successfully may have a direct impact on its ability to exercise the option to acquire the AmTrust Insurance Companies from AmTrust, as it must be able to</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meet its capital needs, expand its systems and internal controls effectively, allocate its human resources optimally, identify, hire, train and develop qualified employees and effectively incorporate the components of any business it may acquire in its effort to achieve growth. The failure to manage Kestrel Group’s growth effectively could have a material adverse effect on its business,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Inability to maintain the strategic relationship with AmTrust could adversely affect Kestrel Group’s business.</w:t>
      </w:r>
    </w:p>
    <w:p>
      <w:pPr>
        <w:spacing w:after="0" w:line="7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 xml:space="preserve">Upon the completion of the Combination Agreement, AmTrust holds approximately 7.8% of the issued and outstanding Kestrel Group common shares and has the right to nominate three directors to the Kestrel Group board. See </w:t>
      </w:r>
      <w:r>
        <w:rPr>
          <w:rFonts w:ascii="Times New Roman" w:cs="Times New Roman" w:eastAsia="Times New Roman" w:hAnsi="Times New Roman"/>
          <w:sz w:val="18"/>
          <w:szCs w:val="18"/>
          <w:i w:val="1"/>
          <w:iCs w:val="1"/>
          <w:color w:val="auto"/>
        </w:rPr>
        <w:t>“Note 10 - Related Party Transactions”</w:t>
      </w:r>
      <w:r>
        <w:rPr>
          <w:rFonts w:ascii="Times New Roman" w:cs="Times New Roman" w:eastAsia="Times New Roman" w:hAnsi="Times New Roman"/>
          <w:sz w:val="18"/>
          <w:szCs w:val="18"/>
          <w:color w:val="auto"/>
        </w:rPr>
        <w:t xml:space="preserve"> for more details. Kestrel Group will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write its business on a fronting basis initially through the AmTrust Insurance Companies. Kestrel Group will cede up to 100% of underwriting risk in exchange for a ceding fee based on gross premiums written. In addition, AmTrust will provide additional services in relation to the AmTrust Insurance Companies pursuant to a management agreement with Kestrel Insurance Agency, including compliance, data reporting, data flow and information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technology systems. As a result, Kestrel Group will rely on its strategic partnership with AmTrust, and any inability to maintain such relationship with AmTrust or to exercise the option to acquire the AmTrust Insurance Companies from AmTrust would materially adversely affect its business. These contractual arrangements may terminate or be terminated under certain circumstances, and there can be no assurance that this strategic relationship will</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continue in the future, including on the same or similar terms, and if not, that Kestrel Group would be able to find a suitable replacement or another strategic partnership on favorable terms, if at all. If Kestrel Group was not able to find other insurance carriers with similar financial strength ratings with which it could partner, its ability to write new and renewal business would be significantly impacted.</w:t>
      </w:r>
    </w:p>
    <w:p>
      <w:pPr>
        <w:spacing w:after="0" w:line="4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Kestrel Group’s business, and therefore its results of operations and financial condition, may be adversely affected by conditions that result in reduced insurer capacity.</w:t>
      </w:r>
    </w:p>
    <w:p>
      <w:pPr>
        <w:spacing w:after="0" w:line="3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Kestrel Group’s results of operations depend on the continued capacity of the AmTrust Insurance Companies to adequately and appropriately underwrite risk and provide coverage. Capacity could be reduced by the AmTrust Insurance Companies failing or withdrawing from writing certain coverages that</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Kestrel Group will offer and it will have limited control over these matters. In addition, to the extent that reinsurance becomes significantly more expensive, Kestrel Group may experience restrictions and limitations on its ability to continue to write the amount or types of business it anticipated, which could have a negative impact on its ability to generate fee revenue.</w:t>
      </w:r>
    </w:p>
    <w:p>
      <w:pPr>
        <w:spacing w:after="0" w:line="5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A decline in the financial strength rating or financial size category of Kestrel Group’s fronting companies may adversely affect Kestrel Group’s financial condition and results of operations.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Each of Kestrel Group’s fronting companies has an “A-” (Excellent) financial strength rating and a XV financial size category from A.M. Best. A</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downgrade or withdrawal of the financial strength rating or reduction in the financial size category of any of Kestrel Group’s fronting companies could cause current and future general agents and insureds to choose other competitors and could severely limit or prevent Kestrel Group’s writing of new and renewal insurance contracts.</w:t>
      </w:r>
    </w:p>
    <w:p>
      <w:pPr>
        <w:spacing w:after="0" w:line="62" w:lineRule="exact"/>
        <w:rPr>
          <w:sz w:val="20"/>
          <w:szCs w:val="20"/>
          <w:color w:val="auto"/>
        </w:rPr>
      </w:pPr>
    </w:p>
    <w:p>
      <w:pPr>
        <w:jc w:val="both"/>
        <w:ind w:firstLine="161"/>
        <w:spacing w:after="0" w:line="224" w:lineRule="auto"/>
        <w:rPr>
          <w:sz w:val="20"/>
          <w:szCs w:val="20"/>
          <w:color w:val="auto"/>
        </w:rPr>
      </w:pPr>
      <w:r>
        <w:rPr>
          <w:rFonts w:ascii="Times New Roman" w:cs="Times New Roman" w:eastAsia="Times New Roman" w:hAnsi="Times New Roman"/>
          <w:sz w:val="18"/>
          <w:szCs w:val="18"/>
          <w:color w:val="auto"/>
        </w:rPr>
        <w:t>A.M. Best’s analysis includes comparisons to peers and industry standards as well as assessments of operating plans, philosophy and management. A.M. Best periodically reviews each insurance carrier’s financial strength rating and may adjust upward or downward at its discretion based primarily on analyzing the balance sheet strength, operating performance and business profile of each insurance carrier.</w:t>
      </w:r>
    </w:p>
    <w:p>
      <w:pPr>
        <w:spacing w:after="0" w:line="64"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increase the frequency and scope of their credit reviews, request additional information from the companies that they rate or increase the capital and other requirements employed in the rating organizations’ models for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of certain ratings levels.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7" w:name="page88"/>
    <w:bookmarkEnd w:id="87"/>
    <w:p>
      <w:pPr>
        <w:jc w:val="both"/>
        <w:ind w:right="20" w:firstLine="161"/>
        <w:spacing w:after="0" w:line="234" w:lineRule="auto"/>
        <w:rPr>
          <w:sz w:val="20"/>
          <w:szCs w:val="20"/>
          <w:color w:val="auto"/>
        </w:rPr>
      </w:pPr>
      <w:r>
        <w:rPr>
          <w:rFonts w:ascii="Times New Roman" w:cs="Times New Roman" w:eastAsia="Times New Roman" w:hAnsi="Times New Roman"/>
          <w:sz w:val="17"/>
          <w:szCs w:val="17"/>
          <w:color w:val="auto"/>
        </w:rPr>
        <w:t>As Kestrel Group will leverage its strategic relationship with such fronting companies for lines of business that require an “A-” financial strength rating from A.M. Best, any downgrade or withdrawal of any insurance carrier’s rating could have a material adverse effect on Kestrel Group’s business. A.M. Best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assigns ratings that are intended to provide an independent opinion of an insurance company’s ability to meet its obligations to policyholders and is neither an evaluation directed to investors nor a recommendation to buy, sell or hold stock or any other securities an insurance group may issue.</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There can be no assurances that Kestrel Group’s fronting companies will be able to maintain this rating. Any downgrade in ratings would likely materially</w:t>
      </w:r>
    </w:p>
    <w:p>
      <w:pPr>
        <w:spacing w:after="0" w:line="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adversely affect Kestrel Group’s business through the loss of certain existing and potential policyholders and the loss of relationships with clients that might move to other companies with higher ratings. If such fronting companies lose their “A-” rating, Kestrel Group may need to secure a new fronting arrangement or risk losing the business of its capacity providers to higher rated issuing carriers.</w:t>
      </w:r>
    </w:p>
    <w:p>
      <w:pPr>
        <w:spacing w:after="0" w:line="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Kestrel Group derives a significant portion of its fee revenues from a limited number of general agents, the loss of which could result in its inability to continue to write a significant portion of the current business, additional expense and a material decrease in fee revenues.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 significant portion of Kestrel Group’s total fees are derived from a limited number of general agents and Kestrel Group is heavily reliant upon these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general agents to generate revenues. The decision of any such general agent to seek to terminate its arrangements with Kestrel Group or to otherwise decrease the volume of business Kestrel Group writes through them, could result in additional expense and a material decrease in the amount of fee revenues Kestrel Group is able to generate. In addition, if Kestrel Group is unable to collect fees under these arrangements due to insolvency, dispute or other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unwillingness or inability of any of its general agents to meet their obligations to Kestrel Group, its business, financial condition, results of operations or prospects could be materially and adversely affected.</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Kestrel Group will depend on a limited number of capacity providers and general agents for a large portion of its gross written premium, and the loss of business provided by any one of them could materially adversely affect Kestrel Group.</w:t>
      </w:r>
    </w:p>
    <w:p>
      <w:pPr>
        <w:spacing w:after="0" w:line="39"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Kestrel Group will offer fronting arrangements to both general agents and capacity providers. Capacity providers may be either independent or under common control with a particular general agent. An independent capacity provider may reinsure a single book or multiple books with various general agents.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single general agent may control a single book with one capacity provider or multiple books with various capacity providers.</w:t>
      </w:r>
    </w:p>
    <w:p>
      <w:pPr>
        <w:spacing w:after="0" w:line="55"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Other insurance companies compete with Kestrel Group for this business. These capacity providers and general agents may choose to enter into fronting arrangements with such competitors, and the general agents or capacity providers may terminate fronting arrangements with Kestrel Group if they no longer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need access to its fronting capacity. Relationships with clients, including general agents and capacity providers, are generally governed by agreements that may be terminated on relatively short notice.</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Given Kestrel Group’s reliance on a small group of capacity providers and general agents, a significant decrease in business from, or the entire loss of, any</w:t>
      </w:r>
    </w:p>
    <w:p>
      <w:pPr>
        <w:spacing w:after="0" w:line="1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of them would cause Kestrel Group to lose premium and ceding fees and require Kestrel Group to seek additional capacity providers or general agents or to replace the lost premium and ceding fees. If Kestrel Group is unable to do so, its business, financial condition, results of operations and prospects would be materially and adversely affected.</w:t>
      </w:r>
    </w:p>
    <w:p>
      <w:pPr>
        <w:spacing w:after="0" w:line="62"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In addition, the ability of Kestrel Group to compete and remain profitable will depend, in part, on it maintaining business relationships with clients (including general agents and capacity providers), the business development and marketing efforts of its sales professionals, the servicing efforts of its relationship managers and on its ability to offer insurance solutions and maintain financial strength ratings through the AmTrust Insurance Companies that</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meet the requirements and preferences of clients. Any failure to be effective in any of these areas may have a material and adverse effect on the combined company’s business, financial condition, results of operations and prospects.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capacity providers or general agents to properly market, underwrite or administer policies could materially adversely affect Kestrel Group.</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The marketing, underwriting, claims administration and other administration of policies will be the responsibility of Kestrel Group’s capacity providers or</w:t>
      </w:r>
    </w:p>
    <w:p>
      <w:pPr>
        <w:spacing w:after="0" w:line="1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general agents. Any failure by them to properly handle these functions could result in liability to the AmTrust Insurance Companies, which may have an adverse impact on the financial condition of Kestrel Group. Even though these capacity providers or general agents may be required to compensate the AmTrust Insurance Companies for any such liability, there are risks that any such failure could create regulatory or reputational issues for the AmTrust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Insurance Companies, which could limit or restrict Kestrel Group’s ability to continue to write business on behalf of its capacity providers. Any such limitations or restrictions could materially and adversely affect the business, financial condition, results of operations and prospects of Kestrel Group.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Kestrel Group may not be successful in building more direct relationships with general agents and capacity providers.</w:t>
      </w:r>
    </w:p>
    <w:p>
      <w:pPr>
        <w:spacing w:after="0" w:line="92"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Kestrel Group’s fronting capacity may be constrained by the size of its capital base, and it may rely on its relationship-driven channels to generate new fronting business. In addition, Kestrel Group may rely on brokers to identify general agents in need of fronting. Although Kestrel Group will build direct relationships with general agents and capacity providers and hire additional fully-dedicated sales staff, Kestrel Group may not be successful in its efforts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expand its fronting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Kestrel Group may face increased competition.</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Kestrel Group competes primarily on the basis of price, customer service, geographic coverage, financial strength ratings, licenses, reputation, business</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model and experience. Its competitors include State National, MS Transverse, Obsidian, Palomar and Trisura. Unlike Kestrel Group, some of its competitors may offer policy administration or other services or be willing to take on significant underwriting risk. There is already active competition for business and any increase in competition could materially and adversely affect the business, financial condition, results of operations and prospects of Kestrel Group.</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Kestrel Group’s fronting arrangements may contain limits on the reinsurer’s obligations.</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While Kestrel Group will reinsure a substantial portion of the risks inherent in its fronting programs, Kestrel Group will, in certain cases, enter into</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programs that contain limits on its reinsurers’ obligations, including exclusion of certain coverages, loss ratio caps, per occurrence or aggregate reinsurance limits or exclusion of the credit risk of general agents. To the extent losses under these programs exceed the prescribed limits, Kestrel Group and/or the AmTrust Insurance Companies will be liable to pay the losses in excess of such limits, which could materially and adversely affect the business,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results of operations and prospects of Kestrel Group.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losses may exceed expectations.</w:t>
      </w:r>
    </w:p>
    <w:p>
      <w:pPr>
        <w:spacing w:after="0" w:line="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Kestrel Group’s insurance business is subject to claims arising from catastrophes, such as hurricanes, tornadoes, windstorms, floods, earthquakes,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hailstorms, severe winter weather and fires, or other events, such as explosions, terrorist attacks, riots and hazardous material releases. The incidence and severity of these events are inherently unpredictable, and Kestrel Group’s losses from catastrophes could be substantial. Although Kestrel Group reinsures a substantial portion of the underwriting risk through its capacity providers, a catastrophe loss could impair the ability of one or more of such capacity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providers to pay all of the reinsured claims, in which case the AmTrust Insurance Companies would be responsible for paying any claims not paid by Kestrel Group’s capacity providers. The consequence may include substantial volatility in the financial condition or results of operations of the AmTrust Insurance Companies for any fiscal quarter or year, which could have a material and adverse effect on its business, financial condition, results of operations and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prospects or its ability to write new business. Any limitations or restrictions on the ability of the AmTrust Insurance Companies to continue to write new business may have a material impact on Kestrel Group’s ability to write new business for its capacity providers, in particular, if it is unable to find a suitable replacement for the loss of any insurance capacity from the AmTrust Insurance Companies. The inability of Kestrel Group to continue to write new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materially and adversely affect its business, financial condition, results of operations and prospects.</w:t>
      </w:r>
    </w:p>
    <w:p>
      <w:pPr>
        <w:spacing w:after="0" w:line="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Kestrel Group relies on third-party service providers that provide the infrastructure for its technological systems, and any failure to maintain these relationships could harm the combined company’s business.</w:t>
      </w:r>
    </w:p>
    <w:p>
      <w:pPr>
        <w:spacing w:after="0" w:line="63"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Information technology systems form a key part of Kestrel Group’s business and accordingly it is dependent on its relationships with third parties that provide the infrastructure for its technological systems. For example, as previously noted, AmTrust is providing services in relation to the AmTrust Insurance Companies pursuant to a management agreement with Kestrel Insurance Agency, which includes compliance, data reporting, data flow and</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information technology systems. If these third parties experience difficulty providing the services Kestrel Group requires or meeting its standards for those services, or experience disruptions or financial distress or cease operations temporarily or permanently, it could make it difficult for the combined company to operate some aspects of its business. In addition, such events could cause Kestrel Group to experience increased costs and delay its ability to provide</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services until it has found alternative sources of the services provided by these third parties. If Kestrel Group is unsuccessful in identifying high-quality partners, if it fails to negotiate cost-effective relationships with them or if it ineffectively manage these relationships, it could materially and adversely affect Kestrel Group’s business, operating results, financial condition and prospects.</w:t>
      </w:r>
    </w:p>
    <w:p>
      <w:pPr>
        <w:spacing w:after="0" w:line="62"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If any of Kestrel Group’s third-party service providers experience difficulties or terminate their services and Kestrel Group’s is unable to replace them with other service providers, its operations could be interrupted. It may be difficult for Kestrel Group to replace some of its third-party vendors, particularly vendors providing its core operational and technological infrastructure, in a timely manner if they were unwilling or unable to provide Kestrel Group with</w:t>
      </w:r>
    </w:p>
    <w:p>
      <w:pPr>
        <w:spacing w:after="0" w:line="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these services in the future for any reason. If an interruption were to continue for a significant period of time, it could have a material adverse effect on Kestrel Group’s business, financial condition or results of operations. Even if Kestrel Group is able to replace them, it may be at higher cost, which could have a material adverse effect on Kestrel Group’s business, financial condition or results of operations. In addition, if a third-party provider fails to provide the services Kestrel Group requires, fails to meet contractual requirements, such as compliance with applicable laws and regulations, or suffers a cyber-</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attack or other security breach, Kestrel Group’s business could suffer economic and reputational harm that could have a material adverse effect on its business, financial condition or results of operations.</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Maiden’s reinsurers may not pay losses in a timely fashion, or at all, which could have a material adverse effect on Kestrel Group’s results of operations or financial condition.</w:t>
      </w:r>
    </w:p>
    <w:p>
      <w:pPr>
        <w:spacing w:after="0" w:line="39"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At June 30, 2025, Maiden had $517.9 million due to it from one reinsurer, Cavello Bay Reinsurance Limited (“Cavello”), consisting of losses recoverable from Cavello under a retrocession agreement of $36.2 million and reinsurance recoverable on unpaid losses under a retroactive reinsurance agreement of</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$481.7 million. Cavello provided collateral in the form of a letter of credit in the amount of $445.0 million to AmTrust under the Loss Portfolio Transfer and Adverse Development Cover Agreement (“LPT/ADC Agreement”) with Enstar Group Limited (“Enstar”) on July 31, 2019, pursuant to which Cavello assumed the loss reserves as of December 31, 2018 associated with a quota share reinsurance agreement between certain insurance subsidiaries of Maiden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and AmTrust that went in run-off effective January 1, 2019, subject to additional collateral funding requirements. As of June 30, 2025, the amount of collateral required was $432.2 million. See "</w:t>
      </w:r>
      <w:r>
        <w:rPr>
          <w:rFonts w:ascii="Times New Roman" w:cs="Times New Roman" w:eastAsia="Times New Roman" w:hAnsi="Times New Roman"/>
          <w:sz w:val="18"/>
          <w:szCs w:val="18"/>
          <w:i w:val="1"/>
          <w:iCs w:val="1"/>
          <w:color w:val="auto"/>
        </w:rPr>
        <w:t>Note 8. Reinsurance</w:t>
      </w:r>
      <w:r>
        <w:rPr>
          <w:rFonts w:ascii="Times New Roman" w:cs="Times New Roman" w:eastAsia="Times New Roman" w:hAnsi="Times New Roman"/>
          <w:sz w:val="18"/>
          <w:szCs w:val="18"/>
          <w:color w:val="auto"/>
        </w:rPr>
        <w:t>" for additional information regarding these reinsurance and collateral arrangements with Cavello.</w:t>
      </w:r>
    </w:p>
    <w:p>
      <w:pPr>
        <w:spacing w:after="0" w:line="62"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Maiden’s reinsurers may not pay losses in a timely fashion, or at all. Either of these events would increase Kestrel Group’s costs and could have a material adverse effect on Kestrel Group’s business, financial condition, results of operations and prospects.</w:t>
      </w:r>
    </w:p>
    <w:p>
      <w:pPr>
        <w:spacing w:after="0" w:line="45"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of the loss limitation methods Kestrel Group has employed or could employ in the future could have a material adverse effect on its results of operations or financial condition.</w:t>
      </w:r>
    </w:p>
    <w:p>
      <w:pPr>
        <w:spacing w:after="0" w:line="39"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Kestrel Group seeks to limit loss exposure through loss limitation provisions in policies it writes, such as limitations on the amount of losses that can be claimed under a policy, limitations or exclusions from coverage and provisions relating to choice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9" w:name="page90"/>
    <w:bookmarkEnd w:id="89"/>
    <w:p>
      <w:pPr>
        <w:jc w:val="both"/>
        <w:spacing w:after="0" w:line="234" w:lineRule="auto"/>
        <w:rPr>
          <w:sz w:val="20"/>
          <w:szCs w:val="20"/>
          <w:color w:val="auto"/>
        </w:rPr>
      </w:pPr>
      <w:r>
        <w:rPr>
          <w:rFonts w:ascii="Times New Roman" w:cs="Times New Roman" w:eastAsia="Times New Roman" w:hAnsi="Times New Roman"/>
          <w:sz w:val="17"/>
          <w:szCs w:val="17"/>
          <w:color w:val="auto"/>
        </w:rPr>
        <w:t>of forum, which are intended to ensure that Kestrel Group’s policies are legally interpreted as intended. These contractual provisions may not be enforceable in the manner expected and disputes relating to coverage may not be resolved in Kestrel Group’s favor. If the loss limitation provisions in the policies are not</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enforceable or disputes arise concerning the application of such provisions, the losses that Kestrel Group incurs could be materially higher than expected and Kestrel Group’s financial condition and results of operations could be adversely affected.</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Maiden’s investments in alternative investments and its investments in joint ventures and/or entities accounted for using the equity method may be illiquid and volatile in terms of value and returns, which could negatively affect Kestrel Group’s investment income and liquidity.</w:t>
      </w:r>
    </w:p>
    <w:p>
      <w:pPr>
        <w:spacing w:after="0" w:line="3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In addition to fixed maturity securities, Maiden has invested in alternative investments such as hedge funds, fixed income funds, equity funds, privately held investments, private equity and private credit funds and co-investments, real estate funds and co-investments and other alternative investments. At</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June 30, 2025, approximately 46% of its total cash and investments were categorized as equity securities, equity method investments and other investments on its condensed consolidated balance sheets.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These alternative investments and other similar investments may be illiquid due to restrictions on sales, transfers and redemption terms, may have</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different, more significant risk characteristics than investments in fixed maturity securities and may also have more volatile values and returns, all of which could negatively affect Kestrel Group’s investment income and overall portfolio liquidity.</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Maiden has also invested in joint ventures and in other entities that it does not control. In these investments, many of which are accounted for using the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equity method, Maiden may lack management and operational control over the entities in which it is invested, which may limit its ability to take actions that could protect or increase the value of its investment. In addition, these investments may be illiquid due to contractual provisions, and Maiden’s lack of operational control may prevent it from obtaining liquidity through distributions from these investments in a timely manner or on favorable terms. As 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result, Maiden’s ability to promptly sell one or more investments in response to changing economic, financial and investment conditions may be limited and, if Maiden is required to liquidate all or a portion of these alternative investments and other similar investments quickly, it may realize significantly less than the value at which it had previously recorded those investments, which could have a material and adverse effect on Kestrel Group’s financial condition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55"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Typically, there is not a public market for these alternative investments and other similar investments in which Maiden has invested. As a result, certain of these securities are valued quarterly at fair value based on assessments from Kestrel Group’s third-party valuation firms. The determination of fair value and,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consequently, the amount of unrealized gains and losses in Kestrel Group’s portfolio are, to a certain degree, subjective and dependent on the valuation process of these third-party valuation firms. Certain factors that may be considered in determining the fair value of certain of Maiden’s alternative investments and other similar investments include external events, such as private mergers, sales and acquisitions involving comparable companies. Because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such valuations are inherently uncertain, they may fluctuate over short periods of time and may be based on estimates by Kestrel Group’s third-party valuation firms. Maiden holds a high level of illiquid investments and has a high proportion of assets that are fair valued relative to other assets which requires Kestrel Group’s third-party valuation firms to rely on a high degree of unobservable valuation inputs. In addition, the review of fair valuations of</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certain of these alternative investments and other similar investments requires a high degree of auditor judgment and extensive effort to audit management’s determination of fair value of such alternative investments and other similar investments, including the need to involve fair value specialists possessing relevant valuation experience to evaluate the appropriateness of the valuation techniques and the significant unobservable inputs used in the valuation of</w:t>
      </w:r>
    </w:p>
    <w:p>
      <w:pPr>
        <w:spacing w:after="0" w:line="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such investments which may differ from the valuation techniques and inputs utilized by Kestrel Group and its third-party valuation firms and/or may change over time. The effect of all these factors on Kestrel Group’s portfolio may reduce Kestrel Group’s net asset value by increasing unrealized depreciation in Kestrel Group’s portfolio. Depending on market conditions, Kestrel Group could incur substantial realized losses and may suffer additional unrealized losses in future periods, which could have a material adverse effect on Kestrel Group’s business, financial condition, results of operations and prospects.</w:t>
      </w:r>
    </w:p>
    <w:p>
      <w:pPr>
        <w:spacing w:after="0" w:line="65" w:lineRule="exact"/>
        <w:rPr>
          <w:sz w:val="20"/>
          <w:szCs w:val="20"/>
          <w:color w:val="auto"/>
        </w:rPr>
      </w:pPr>
    </w:p>
    <w:p>
      <w:pPr>
        <w:jc w:val="both"/>
        <w:ind w:firstLine="161"/>
        <w:spacing w:after="0" w:line="224" w:lineRule="auto"/>
        <w:rPr>
          <w:sz w:val="20"/>
          <w:szCs w:val="20"/>
          <w:color w:val="auto"/>
        </w:rPr>
      </w:pPr>
      <w:r>
        <w:rPr>
          <w:rFonts w:ascii="Times New Roman" w:cs="Times New Roman" w:eastAsia="Times New Roman" w:hAnsi="Times New Roman"/>
          <w:sz w:val="18"/>
          <w:szCs w:val="18"/>
          <w:color w:val="auto"/>
        </w:rPr>
        <w:t>In addition, alternative or “other” investments may not meet regulatory admissibility requirements or may result in increased regulatory capital charges to Maiden’s insurance subsidiaries that hold these investments, which could limit those subsidiaries’ ability to make capital distributions to Kestrel Group, which in turn could adversely affect Kestrel Group’s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Kestrel Group’s investment portfolio will be subject to a variety of investment risks.</w:t>
      </w:r>
    </w:p>
    <w:p>
      <w:pPr>
        <w:spacing w:after="0" w:line="7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Kestrel Group’s operating results will be affected, in part, by the performance of its investment portfolio. Interest rates are highly sensitive to many factors, including governmental monetary policies, domestic and international economic and political conditions and other factors beyond Kestrel Group’s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control. Although Kestrel Group will take measures to manage investment risks, it may not be able to fully or effectively mitigate interest rate sensitivity. Despite any mitigation efforts, a significant change in interest rates could have a material and adverse effect on Kestrel Group’s business, financial condition, results of operations and prospects.</w:t>
      </w:r>
    </w:p>
    <w:p>
      <w:pPr>
        <w:spacing w:after="0" w:line="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addition, the performance of Kestrel Group’s investment portfolio will generally be subject to other risks, including the following:</w:t>
      </w:r>
    </w:p>
    <w:p>
      <w:pPr>
        <w:spacing w:after="0" w:line="75" w:lineRule="exact"/>
        <w:rPr>
          <w:sz w:val="20"/>
          <w:szCs w:val="20"/>
          <w:color w:val="auto"/>
        </w:rPr>
      </w:pPr>
    </w:p>
    <w:p>
      <w:pPr>
        <w:ind w:left="280" w:hanging="11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operating performance or business prospects of one or more issuers of its fixed-income securities;</w:t>
      </w:r>
    </w:p>
    <w:p>
      <w:pPr>
        <w:spacing w:after="0" w:line="74" w:lineRule="exact"/>
        <w:rPr>
          <w:rFonts w:ascii="Times New Roman" w:cs="Times New Roman" w:eastAsia="Times New Roman" w:hAnsi="Times New Roman"/>
          <w:sz w:val="18"/>
          <w:szCs w:val="18"/>
          <w:color w:val="auto"/>
        </w:rPr>
      </w:pPr>
    </w:p>
    <w:p>
      <w:pPr>
        <w:ind w:left="280" w:hanging="11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concentration of the investment portfolio in the securities of a few issuers, sectors or industries;</w:t>
      </w:r>
    </w:p>
    <w:p>
      <w:pPr>
        <w:spacing w:after="0" w:line="87" w:lineRule="exact"/>
        <w:rPr>
          <w:rFonts w:ascii="Times New Roman" w:cs="Times New Roman" w:eastAsia="Times New Roman" w:hAnsi="Times New Roman"/>
          <w:sz w:val="18"/>
          <w:szCs w:val="18"/>
          <w:color w:val="auto"/>
        </w:rPr>
      </w:pPr>
    </w:p>
    <w:p>
      <w:pPr>
        <w:ind w:left="280" w:hanging="11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convert investment securities into cash on favorable terms and on a timely basis; and</w:t>
      </w:r>
    </w:p>
    <w:p>
      <w:pPr>
        <w:spacing w:after="0" w:line="74" w:lineRule="exact"/>
        <w:rPr>
          <w:rFonts w:ascii="Times New Roman" w:cs="Times New Roman" w:eastAsia="Times New Roman" w:hAnsi="Times New Roman"/>
          <w:sz w:val="18"/>
          <w:szCs w:val="18"/>
          <w:color w:val="auto"/>
        </w:rPr>
      </w:pPr>
    </w:p>
    <w:p>
      <w:pPr>
        <w:ind w:left="280" w:hanging="112"/>
        <w:spacing w:after="0"/>
        <w:tabs>
          <w:tab w:leader="none" w:pos="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movements in the securities markets.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0" w:name="page91"/>
    <w:bookmarkEnd w:id="90"/>
    <w:p>
      <w:pPr>
        <w:jc w:val="both"/>
        <w:ind w:right="20" w:firstLine="161"/>
        <w:spacing w:after="0" w:line="236" w:lineRule="auto"/>
        <w:rPr>
          <w:sz w:val="20"/>
          <w:szCs w:val="20"/>
          <w:color w:val="auto"/>
        </w:rPr>
      </w:pPr>
      <w:r>
        <w:rPr>
          <w:rFonts w:ascii="Times New Roman" w:cs="Times New Roman" w:eastAsia="Times New Roman" w:hAnsi="Times New Roman"/>
          <w:sz w:val="18"/>
          <w:szCs w:val="18"/>
          <w:color w:val="auto"/>
        </w:rPr>
        <w:t>A substantial decline in its investment portfolio could have a material and adverse effect on Kestrel Group’s business, financial condition, results of operations and prospects.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management identified a material weakness related to our internal control over financial reporting for the financial statements of the Kestrel Group</w:t>
      </w:r>
    </w:p>
    <w:p>
      <w:pPr>
        <w:spacing w:after="0" w:line="2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LLC and its subsidiaries. This material weakness existed prior to the consummation of the acquisition.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See </w:t>
      </w:r>
      <w:r>
        <w:rPr>
          <w:rFonts w:ascii="Times New Roman" w:cs="Times New Roman" w:eastAsia="Times New Roman" w:hAnsi="Times New Roman"/>
          <w:sz w:val="18"/>
          <w:szCs w:val="18"/>
          <w:i w:val="1"/>
          <w:iCs w:val="1"/>
          <w:color w:val="auto"/>
        </w:rPr>
        <w:t>Part I Item 4 Controls and Procedures</w:t>
      </w:r>
      <w:r>
        <w:rPr>
          <w:rFonts w:ascii="Times New Roman" w:cs="Times New Roman" w:eastAsia="Times New Roman" w:hAnsi="Times New Roman"/>
          <w:sz w:val="18"/>
          <w:szCs w:val="18"/>
          <w:color w:val="auto"/>
        </w:rPr>
        <w:t xml:space="preserve"> included within this filing for details on material control weakness including remediation measures designed and implemented by the Company.</w:t>
      </w:r>
    </w:p>
    <w:p>
      <w:pPr>
        <w:spacing w:after="0" w:line="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believe the remediation measures will be sufficient to remediate the identified material weakness and strengthen our internal control over financial</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reporting. However, the new and enhanced controls have not operated for a sufficient amount of time to conclude that the material weakness has been remediated.</w:t>
      </w:r>
    </w:p>
    <w:p>
      <w:pPr>
        <w:spacing w:after="0" w:line="49"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Because we identified a material weakness and have not remediated it in the current fiscal year, our disclosure controls and procedures and internal control over financial reporting may not be sufficient to ensure that material information is timely and accurately disclosed, which may adversely affect</w:t>
      </w:r>
    </w:p>
    <w:p>
      <w:pPr>
        <w:jc w:val="both"/>
        <w:spacing w:after="0" w:line="229" w:lineRule="auto"/>
        <w:rPr>
          <w:sz w:val="20"/>
          <w:szCs w:val="20"/>
          <w:color w:val="auto"/>
        </w:rPr>
      </w:pPr>
      <w:r>
        <w:rPr>
          <w:rFonts w:ascii="Times New Roman" w:cs="Times New Roman" w:eastAsia="Times New Roman" w:hAnsi="Times New Roman"/>
          <w:sz w:val="18"/>
          <w:szCs w:val="18"/>
          <w:color w:val="auto"/>
        </w:rPr>
        <w:t>investor confidence and our ability to file timely reports with the SEC. Despite management’s ongoing efforts, the material weakness in our disclosure controls could result in material misstatements in our financial statements, which could harm our reputation, result in regulatory scrutiny, or lead to corrective action. Further, integration of the legacy Kestrel and Maiden businesses can also expose us to risks that material weaknesses may not be promptly resolved, potentially delaying completion of our consolidated internal control assessment and impairing our financial reporting.</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Technology breaches or failures, including, but not limited to, those resulting from cyber-attacks on Kestrel Group or its business partners and service providers, could disrupt or otherwise negatively impact Kestrel Group’s business.</w:t>
      </w:r>
    </w:p>
    <w:p>
      <w:pPr>
        <w:spacing w:after="0" w:line="39"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Kestrel Group’s information technology systems are vulnerable to data breaches, interruptions or failures due to events that may be beyond its control, including, but not limited to, natural disasters, theft, terrorist attacks, computer viruses, hackers and general technology failures. Kestrel Group’s information</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technology systems will include the Internet and third-party hosted services. Kestrel Group will use information systems to process financial information and results of operations for internal reporting purposes and for regulatory financial reporting, legal and tax requirements. Kestrel Group may also use information systems for electronic communications with customers and its various locations.</w:t>
      </w:r>
    </w:p>
    <w:p>
      <w:pPr>
        <w:spacing w:after="0" w:line="62" w:lineRule="exact"/>
        <w:rPr>
          <w:sz w:val="20"/>
          <w:szCs w:val="20"/>
          <w:color w:val="auto"/>
        </w:rPr>
      </w:pPr>
    </w:p>
    <w:p>
      <w:pPr>
        <w:jc w:val="both"/>
        <w:ind w:firstLine="161"/>
        <w:spacing w:after="0" w:line="224" w:lineRule="auto"/>
        <w:rPr>
          <w:sz w:val="20"/>
          <w:szCs w:val="20"/>
          <w:color w:val="auto"/>
        </w:rPr>
      </w:pPr>
      <w:r>
        <w:rPr>
          <w:rFonts w:ascii="Times New Roman" w:cs="Times New Roman" w:eastAsia="Times New Roman" w:hAnsi="Times New Roman"/>
          <w:sz w:val="17"/>
          <w:szCs w:val="17"/>
          <w:color w:val="auto"/>
        </w:rPr>
        <w:t>A shutdown or inability to access one or more of its facilities, a power outage, a security breach, or a failure of one or more of its information technology, telecommunications or other systems could significantly impair Kestrel Group’s ability to perform such functions on a timely basis. These incidents could be caused by malicious or disruptive software, computer hackers, rogue employees, cyber-attacks, failures of telecommunications systems or other catastrophic events. If sustained or repeated, such a business interruption, system failure or service denial could result in a deterioration of Kestrel Group’s ability to</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write and process business, provide customer service, pay claims in a timely manner or perform other necessary business functions. Furthermore, a significant portion of the communications between Kestrel Group’s employees and its business, banking and investment partners will depend on information technology and electronic information exchange. In addition, Kestrel Group may suffer financial and reputational damage because of lost or misappropriated</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confidential information belonging to it, and may become subject to legal action and increased regulatory oversight. Kestrel Group could also be required to spend significant financial and other resources to remedy any damage caused to repair or replace information systems.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Kestrel Group’s information systems may be the target of attacks. Although Kestrel Group has not experienced known material or threatened cases</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involving unauthorized access to its information technology systems and data or unauthorized appropriation of such data to date, it has no assurance that such technology breaches will not occur in the future.</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Additionally, some of Kestrel Group’s subsidiaries will collect, use, store, transmit, retrieve, retain and otherwise process confidential and personally</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identifiable information in their information systems in and across multiple jurisdictions, and they are subject to a variety of confidentiality obligations and privacy, data protection and information security laws, regulations, orders and industry standards in the jurisdictions in which they do business. The regulatory environment surrounding information security, data privacy and cybersecurity is evolving and increasingly demanding. A number of Kestrel</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Group’s subsidiaries are subject to numerous U.S. federal and state laws and non-U.S. regulations governing the protection of personally identifiable and confidential information of their customers and employees. On October 24, 2017, the NAIC adopted an Insurance Data Security Model Law, which requires licensed insurance entities to comply with detailed information security requirements. The NAIC model law has been adopted by certain states, including</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Vermont, which may raise compliance costs or increase the risk of noncompliance, and noncompliance could subject Kestrel Group’s insurance subsidiaries to regulatory enforcement actions and penalties, as well as reputational harm. Any such events could potentially have an adverse impact on Kestrel Group’s insurance subsidiaries’ business, results of operations, financial condition and cash flows.</w:t>
      </w:r>
    </w:p>
    <w:p>
      <w:pPr>
        <w:spacing w:after="0" w:line="62"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along with contractually imposed industry standards are uncertain, it is possible that these laws may be interpreted and applied in a manner that is inconsistent with Kestrel Group’s insurance subsidiaries’ existing data management practices or the features of their services and platform capabilities. Any failure or perceived failure by Kestrel Group’s insurance subsidiaries,</w:t>
      </w:r>
    </w:p>
    <w:p>
      <w:pPr>
        <w:spacing w:after="0" w:line="3"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or any third parties with which they do business, to comply with their posted privacy policies, changing consumer expectations, evolving laws, rules and regulations, industry standards, or contractual obligations to which they or such third parties are or may become subject, may result in actions or other claims against Kestrel Group’s insurance subsidiaries by governmental entities or private actors, the expenditure of substantial costs, time and other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resources or the incurrence of significant fines, penalties or other liabilities. In addition, any such action, particularly to the extent Kestrel Group’s insurance subsidiaries were found to be guilty of violations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or otherwise liable for damages, would damage their reputation and adversely affect their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Maiden Reinsurance’s legacy business is subject to risks related to litigation. Losses from legal and regulatory actions may have a material adverse</w:t>
      </w:r>
    </w:p>
    <w:p>
      <w:pPr>
        <w:spacing w:after="0" w:line="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i w:val="1"/>
          <w:iCs w:val="1"/>
          <w:color w:val="auto"/>
        </w:rPr>
        <w:t>effect on the Company’s reputation, which in turn may have a material adverse effect on Kestrel Group’s operating results, cash flows, financial condition and prospects.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Maiden Reinsurance may from time to time be subject to litigation or other legal or regulatory actions in the ordinary course of business relating to its</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current and past business operations, including, but not limited to, disputes over coverage or claims adjudication, including reinsurance contract disputes and arbitration, claims alleging that Maiden Reinsurance has acted in bad faith in the administration of claims by its policyholders, disputes with its agents, producers and termination of contracts and related claims and disputes with former employees.</w:t>
      </w:r>
    </w:p>
    <w:p>
      <w:pPr>
        <w:spacing w:after="0" w:line="62" w:lineRule="exact"/>
        <w:rPr>
          <w:sz w:val="20"/>
          <w:szCs w:val="20"/>
          <w:color w:val="auto"/>
        </w:rPr>
      </w:pPr>
    </w:p>
    <w:p>
      <w:pPr>
        <w:jc w:val="both"/>
        <w:ind w:firstLine="161"/>
        <w:spacing w:after="0" w:line="227" w:lineRule="auto"/>
        <w:rPr>
          <w:sz w:val="20"/>
          <w:szCs w:val="20"/>
          <w:color w:val="auto"/>
        </w:rPr>
      </w:pPr>
      <w:r>
        <w:rPr>
          <w:rFonts w:ascii="Times New Roman" w:cs="Times New Roman" w:eastAsia="Times New Roman" w:hAnsi="Times New Roman"/>
          <w:sz w:val="17"/>
          <w:szCs w:val="17"/>
          <w:color w:val="auto"/>
        </w:rPr>
        <w:t>Kestrel Group also may be subject to litigation from security holders due to the diminution in value of its securities as a result of its operating results and financial condition. For example, in 2019 certain security holders of Maiden filed a class action alleging that Maiden failed to take adequate loss reserves in connection with reinsurance provided to AmTrust and that certain of Maiden’s representations concerning its business, underwriting and financial statements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were rendered false by the allegedly inadequate loss reserves, which caused Maiden’s share price to fall. This class action is currently under appeal. Defending against these actions may require Maiden to utilize significant resources in its defense as well as result in a significant amount of time by senior management. In addition, any reserves established for pending litigation may be insufficient, in particular, in the event of an adverse resolution of one or</w:t>
      </w:r>
    </w:p>
    <w:p>
      <w:pPr>
        <w:spacing w:after="0" w:line="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more such lawsuits or arbitrations, which could have a material adverse effect on Kestrel Group’s operating results, cash flows, financial condition and prospects.</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Kestrel Group is unable to establish and maintain accurate loss reserves, its business, financial condition, results of operations and prospects may be materially and adversely affected.</w:t>
      </w:r>
    </w:p>
    <w:p>
      <w:pPr>
        <w:spacing w:after="0" w:line="3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There is inherent uncertainty in the process of establishing insurance loss reserves. As a result of these uncertainties, the ultimate paid loss and LAE may deviate, perhaps substantially, from the point-in-time estimates of such losses and expenses, as reflected in the loss reserves included in Kestrel Group’s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financial statements. To the extent that loss and LAE exceed estimates, Kestrel Group will be required to immediately recognize any retained unfavorable development and increase loss reserves, with a corresponding reduction in its net income in the period in which the reserve levels are increased. Consequently, ultimate losses paid could materially exceed reported loss reserves and have a material and adverse effect on Kestrel Group’s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results of operations and prospects.</w:t>
      </w:r>
    </w:p>
    <w:p>
      <w:pPr>
        <w:spacing w:after="0" w:line="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Kestrel Group’s business will depend on the efforts of its executive officers and other personnel. If Kestrel Group is unsuccessful in its efforts to attract, train and retain qualified personnel, its business, financial condition, results of operations and prospects may be materially adversely affected.</w:t>
      </w:r>
    </w:p>
    <w:p>
      <w:pPr>
        <w:spacing w:after="0" w:line="63"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Kestrel Group’s success will depend on its executive officers’ industry expertise, knowledge of its markets and relationships with clients. The executive officers of Kestrel Group will be:</w:t>
      </w:r>
    </w:p>
    <w:p>
      <w:pPr>
        <w:spacing w:after="0" w:line="49" w:lineRule="exact"/>
        <w:rPr>
          <w:sz w:val="20"/>
          <w:szCs w:val="20"/>
          <w:color w:val="auto"/>
        </w:rPr>
      </w:pPr>
    </w:p>
    <w:p>
      <w:pPr>
        <w:ind w:left="280" w:hanging="11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Luke Ledbetter (Chief Executive Officer);</w:t>
      </w:r>
    </w:p>
    <w:p>
      <w:pPr>
        <w:spacing w:after="0" w:line="34" w:lineRule="exact"/>
        <w:rPr>
          <w:rFonts w:ascii="Times New Roman" w:cs="Times New Roman" w:eastAsia="Times New Roman" w:hAnsi="Times New Roman"/>
          <w:sz w:val="18"/>
          <w:szCs w:val="18"/>
          <w:color w:val="auto"/>
        </w:rPr>
      </w:pPr>
    </w:p>
    <w:p>
      <w:pPr>
        <w:ind w:left="280" w:hanging="11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Ledbetter (Executive Chairman); and</w:t>
      </w:r>
    </w:p>
    <w:p>
      <w:pPr>
        <w:spacing w:after="0" w:line="26" w:lineRule="exact"/>
        <w:rPr>
          <w:rFonts w:ascii="Times New Roman" w:cs="Times New Roman" w:eastAsia="Times New Roman" w:hAnsi="Times New Roman"/>
          <w:sz w:val="18"/>
          <w:szCs w:val="18"/>
          <w:color w:val="auto"/>
        </w:rPr>
      </w:pPr>
    </w:p>
    <w:p>
      <w:pPr>
        <w:ind w:left="280" w:hanging="112"/>
        <w:spacing w:after="0"/>
        <w:tabs>
          <w:tab w:leader="none" w:pos="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Haveron (President and Chief Financial Officer).</w:t>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Kestrel Group has agreements with its executive officers that contain certain non-compete and non-solicit provisions. Nonetheless, should any of its</w:t>
      </w:r>
    </w:p>
    <w:p>
      <w:pPr>
        <w:jc w:val="both"/>
        <w:spacing w:after="0" w:line="218" w:lineRule="auto"/>
        <w:rPr>
          <w:sz w:val="20"/>
          <w:szCs w:val="20"/>
          <w:color w:val="auto"/>
        </w:rPr>
      </w:pPr>
      <w:r>
        <w:rPr>
          <w:rFonts w:ascii="Times New Roman" w:cs="Times New Roman" w:eastAsia="Times New Roman" w:hAnsi="Times New Roman"/>
          <w:sz w:val="17"/>
          <w:szCs w:val="17"/>
          <w:color w:val="auto"/>
        </w:rPr>
        <w:t>executive officers cease working for Kestrel Group, it may not be able to find acceptable replacements with comparable skills and experience in the niche markets that Kestrel Group targets. In addition, its business is also dependent on other skilled employees. Kestrel Group cannot guarantee its ability to attract, train and retain, on a timely basis and on anticipated economic and other terms, experienced and capable senior management, underwriters and support staff. Kestrel Group will pay competitive salaries, bonuses and equity-based rewards in order to attract and retain such personnel, but there can be no</w:t>
      </w:r>
    </w:p>
    <w:p>
      <w:pPr>
        <w:jc w:val="both"/>
        <w:spacing w:after="0" w:line="224" w:lineRule="auto"/>
        <w:rPr>
          <w:sz w:val="20"/>
          <w:szCs w:val="20"/>
          <w:color w:val="auto"/>
        </w:rPr>
      </w:pPr>
      <w:r>
        <w:rPr>
          <w:rFonts w:ascii="Times New Roman" w:cs="Times New Roman" w:eastAsia="Times New Roman" w:hAnsi="Times New Roman"/>
          <w:sz w:val="18"/>
          <w:szCs w:val="18"/>
          <w:color w:val="auto"/>
        </w:rPr>
        <w:t>assurance that Kestrel Group will be successful in such endeavors. Loss of key personnel or inability to recruit and retain qualified personnel in the future could have a material and adverse effect on Kestrel Group’s business, financial condition or results of operations.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Kestrel Group may require additional capital in the future which may not be available or available only on unfavorable terms.</w:t>
      </w:r>
    </w:p>
    <w:p>
      <w:pPr>
        <w:spacing w:after="0" w:line="92" w:lineRule="exact"/>
        <w:rPr>
          <w:sz w:val="20"/>
          <w:szCs w:val="20"/>
          <w:color w:val="auto"/>
        </w:rPr>
      </w:pPr>
    </w:p>
    <w:p>
      <w:pPr>
        <w:jc w:val="both"/>
        <w:ind w:firstLine="161"/>
        <w:spacing w:after="0" w:line="227" w:lineRule="auto"/>
        <w:rPr>
          <w:sz w:val="20"/>
          <w:szCs w:val="20"/>
          <w:color w:val="auto"/>
        </w:rPr>
      </w:pPr>
      <w:r>
        <w:rPr>
          <w:rFonts w:ascii="Times New Roman" w:cs="Times New Roman" w:eastAsia="Times New Roman" w:hAnsi="Times New Roman"/>
          <w:sz w:val="17"/>
          <w:szCs w:val="17"/>
          <w:color w:val="auto"/>
        </w:rPr>
        <w:t>Kestrel Group’s future capital requirements will depend on many factors, including its ability to successfully write new business and to establish premium rates and reserves at levels sufficient to cover losses. To the extent funds generated by its ongoing operations and capitalization are insufficient for operating requirements or to fund future strategic initiatives such as entering into new lines of business or exercising the option to acquire the AmTrust Insurance</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Companies from AmTrust, Kestrel Group may need to raise additional capital. Kestrel Group cannot assure that it will be able to raise equity or debt financing on favorable terms and in the needed amounts, or at all. If Kestrel Group cannot obtain adequate capital, its business, financial condition, results of operations and prospects could be materially adversely affected.</w:t>
      </w:r>
    </w:p>
    <w:p>
      <w:pPr>
        <w:spacing w:after="0" w:line="62"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In addition, the terms of a capital raising transaction may include stringent financial and operating covenants which may restrict Kestrel Group from raising additional capital in the future.</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general lines of authority or business Kestrel Group is licensed to conduct, as well as the rates charged by Kestrel Group under the policies it writes through the AmTrust Insurance Companies, will be subject to prior regulatory approval in most of the states in which Kestrel Group operates.</w:t>
      </w:r>
    </w:p>
    <w:p>
      <w:pPr>
        <w:spacing w:after="0" w:line="39"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Kestrel Group is impacted by the regulation of the AmTrust Insurance Companies. Admitted insurance companies are subject to various state laws that govern organization, licensing, capitalization, policy forms, rate approvals and claims handling. Since the AmTrust Insurance Companies are admitted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states in which Kestrel Group operates, Kestrel Group may have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2" w:name="page93"/>
    <w:bookmarkEnd w:id="92"/>
    <w:p>
      <w:pPr>
        <w:jc w:val="both"/>
        <w:spacing w:after="0" w:line="221" w:lineRule="auto"/>
        <w:rPr>
          <w:sz w:val="20"/>
          <w:szCs w:val="20"/>
          <w:color w:val="auto"/>
        </w:rPr>
      </w:pPr>
      <w:r>
        <w:rPr>
          <w:rFonts w:ascii="Times New Roman" w:cs="Times New Roman" w:eastAsia="Times New Roman" w:hAnsi="Times New Roman"/>
          <w:sz w:val="18"/>
          <w:szCs w:val="18"/>
          <w:color w:val="auto"/>
        </w:rPr>
        <w:t>to obtain prior regulatory approval of general lines of authority or business it may be lacking in such states, as well as prior regulatory approval of program-specific insurance rates charged to its insureds and its clients’ insureds in such states, including any increases in the rates. The timing of such approval</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processes, as well as the willingness of insurance regulators to approve licensing changes or rate increases, can impact the profitability of new policies written by Kestrel Group, which in turn can cause fluctuations in Kestrel Group’s revenue and earnings. If Kestrel Group is unable to obtain approval for the requested licensing or rate changes, or if such approval is delayed, its financial condition, results of operations and liquidity may be adversely affected.</w:t>
      </w:r>
    </w:p>
    <w:p>
      <w:pPr>
        <w:spacing w:after="0" w:line="5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Even if the combination qualifies as a transaction described in Section 351 of the Code, a U.S. Holder of Maiden shares may still recognize gain as a result of the first merger if Maiden is or was classified as a passive foreign investment company (“PFIC”) for any taxable year during which a U.S. Holder held Maiden shares.</w:t>
      </w:r>
    </w:p>
    <w:p>
      <w:pPr>
        <w:spacing w:after="0" w:line="63" w:lineRule="exact"/>
        <w:rPr>
          <w:sz w:val="20"/>
          <w:szCs w:val="20"/>
          <w:color w:val="auto"/>
        </w:rPr>
      </w:pPr>
    </w:p>
    <w:p>
      <w:pPr>
        <w:jc w:val="both"/>
        <w:ind w:firstLine="161"/>
        <w:spacing w:after="0" w:line="214" w:lineRule="auto"/>
        <w:rPr>
          <w:sz w:val="20"/>
          <w:szCs w:val="20"/>
          <w:color w:val="auto"/>
        </w:rPr>
      </w:pPr>
      <w:r>
        <w:rPr>
          <w:rFonts w:ascii="Times New Roman" w:cs="Times New Roman" w:eastAsia="Times New Roman" w:hAnsi="Times New Roman"/>
          <w:sz w:val="18"/>
          <w:szCs w:val="18"/>
          <w:color w:val="auto"/>
        </w:rPr>
        <w:t>Pursuant to Section 1291(f) of the Code, to the extent provided in U.S. Treasury Regulations promulgated under the Code (the “Treasury Regulations”), even if the combination qualifies as a transaction described in Section 351 of the Code, if Maiden was a PFIC for any taxable year during a U.S. Holder’s holding period for the Maiden shares, certain adverse U.S. federal income tax consequences, including recognition of gain, could apply to such U.S. Holder</w:t>
      </w:r>
    </w:p>
    <w:p>
      <w:pPr>
        <w:spacing w:after="0" w:line="3"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as a result of the first merger, unless certain exceptions apply. Based on the nature of Maiden’s business, the projected composition of its income and the projected composition and estimated fair market values of its assets, Maiden does not believe it was a PFIC for its taxable year ended on December 31, 2024 and does not expect to be a PFIC for its taxable year ending on December 31, 2025, or the succeeding taxable year. However, because there is significant</w:t>
      </w:r>
    </w:p>
    <w:p>
      <w:pPr>
        <w:spacing w:after="0" w:line="1"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8"/>
          <w:szCs w:val="18"/>
          <w:color w:val="auto"/>
        </w:rPr>
        <w:t>uncertainty in the application of the PFIC rules, no assurance can be given that Maiden was not previously a PFIC and will not be a PFIC for its taxable year ending December 31, 2025, or any subsequent taxable year.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Maiden shares should consult such holders’ tax advisors regarding the possible classification of Maiden as a PFIC and the resulting 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considerations.</w:t>
      </w:r>
    </w:p>
    <w:p>
      <w:pPr>
        <w:spacing w:after="0" w:line="55"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The ability of Kestrel Group’s subsidiaries to use net operating loss carryforwards and other tax attributes may be limited in connection with the combination or other transactions.</w:t>
      </w:r>
    </w:p>
    <w:p>
      <w:pPr>
        <w:spacing w:after="0" w:line="62"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As of June 30, 2025, Maiden and certain of its subsidiaries had U.S. federal net operating losses of approximately $454,825. These net operating losses will carry forward to offset a portion of future taxable income, if any, until such unused losses expire, if at all.</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Under Sections 382 and 383 of Code, these federal net operating loss carryforwards, certain losses incurred following the combination, and other tax</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attributes may become subject to an annual limitation in the event of certain changes in Kestrel Group’s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Kestrel Group’s, or its subsidiaries’,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ability to utilize net operating loss carryforwards, certain losses incurred following the mergers, and other tax attributes to offset future taxable income or tax liabilities may be limited as a result of ownership changes, including potential changes in connection with the combination or other transactions. Similar rules may apply under state tax laws. Such limitations could result in increased future income tax liability to Kestrel Group or its subsidiaries, and Kestrel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Group’s or its subsidiaries’ future cash flows could be adversely affected.</w:t>
      </w:r>
    </w:p>
    <w:p>
      <w:pPr>
        <w:spacing w:after="0" w:line="55" w:lineRule="exact"/>
        <w:rPr>
          <w:sz w:val="20"/>
          <w:szCs w:val="20"/>
          <w:color w:val="auto"/>
        </w:rPr>
      </w:pPr>
    </w:p>
    <w:p>
      <w:pPr>
        <w:jc w:val="both"/>
        <w:ind w:firstLine="161"/>
        <w:spacing w:after="0" w:line="221" w:lineRule="auto"/>
        <w:rPr>
          <w:sz w:val="20"/>
          <w:szCs w:val="20"/>
          <w:color w:val="auto"/>
        </w:rPr>
      </w:pPr>
      <w:r>
        <w:rPr>
          <w:rFonts w:ascii="Times New Roman" w:cs="Times New Roman" w:eastAsia="Times New Roman" w:hAnsi="Times New Roman"/>
          <w:sz w:val="18"/>
          <w:szCs w:val="18"/>
          <w:color w:val="auto"/>
        </w:rPr>
        <w:t>To preserve Kestrel Group’s and its subsidiaries’ ability to utilize their tax attributes without limitation, Kestrel Group has taken actions to attempt to prevent an “ownership change” from occurring, including adopting provisions that limit or discourage shareholders from acquiring 5% or more of Kestrel</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Group or, in the case of shareholders that already own 5% or more of Bermuda NewCo, from increasing their ownership. Kestrel Group may take further actions in the future. There can be no assurances that such actions will be available, or if such actions are available, whether Kestrel Group will decide to undertake any such actions. Moreover, there can be no assurances that any existing or future actions will be effective in preventing an “ownership change” pursuant to Section 382 of the Code.</w:t>
      </w:r>
    </w:p>
    <w:p>
      <w:pPr>
        <w:spacing w:after="0" w:line="63" w:lineRule="exact"/>
        <w:rPr>
          <w:sz w:val="20"/>
          <w:szCs w:val="20"/>
          <w:color w:val="auto"/>
        </w:rPr>
      </w:pPr>
    </w:p>
    <w:p>
      <w:pPr>
        <w:jc w:val="both"/>
        <w:ind w:firstLine="161"/>
        <w:spacing w:after="0" w:line="236" w:lineRule="auto"/>
        <w:rPr>
          <w:sz w:val="20"/>
          <w:szCs w:val="20"/>
          <w:color w:val="auto"/>
        </w:rPr>
      </w:pPr>
      <w:r>
        <w:rPr>
          <w:rFonts w:ascii="Times New Roman" w:cs="Times New Roman" w:eastAsia="Times New Roman" w:hAnsi="Times New Roman"/>
          <w:sz w:val="18"/>
          <w:szCs w:val="18"/>
          <w:color w:val="auto"/>
        </w:rPr>
        <w:t>Kestrel Group is a tax resident of, and subject to tax in, both the United States and Bermuda, which may result in an increase in Kestrel Group’s and its subsidiaries’ cash tax obligations and effective rate.</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Under current U.S. federal tax law, a corporation organized under Bermuda law is generally classified as a foreign corporation pursuant to Section 7701(a)</w:t>
      </w:r>
    </w:p>
    <w:p>
      <w:pPr>
        <w:spacing w:after="0" w:line="12" w:lineRule="exact"/>
        <w:rPr>
          <w:sz w:val="20"/>
          <w:szCs w:val="20"/>
          <w:color w:val="auto"/>
        </w:rPr>
      </w:pPr>
    </w:p>
    <w:p>
      <w:pPr>
        <w:jc w:val="both"/>
        <w:ind w:firstLine="7"/>
        <w:spacing w:after="0" w:line="214" w:lineRule="auto"/>
        <w:tabs>
          <w:tab w:leader="none" w:pos="26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Section 7874 of the Code and the Treasury Regulations promulgated thereunder, however, contain rules that cause a foreign corporation, such as Kestrel Group, that acquires the stock of a domestic corporation, such as US NewCo, to be treated as a domestic corporation for U.S. federal tax purposes in certain situations. Kestrel Group expects to be treated as a domestic corporation for all US. Federal tax purposes upon consummation of the Second Merger pursuant to Section 7874(b) of the Code. However, Section 7874 of the Code is complex and Kestrel Group cannot be certain or provide any guarantees regarding its expected treatment.</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the basis that Kestrel Group is treated as a tax resident in the U.S., Kestrel Group is not expected to be treated as a Bermuda tax resident pursuant to</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Bermuda’s tax legislation. Regardless of whether Kestrel Group expects to be treated as a domestic corporation for U.S. federal income tax purposes pursuant to Section 7874(b) of the Code, it could be liable for both U.S. and Bermuda taxes. Kestrel Group does not expect any tax owed to Bermuda to be material, but Bermuda’s tax laws may change and Kestrel Group cannot provide any assurances that its Bermuda tax obligations will not become material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and Use of Proceeds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Items 2. (a) and (b) are not applicable.</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 (c) Share Repurchases</w:t>
      </w:r>
    </w:p>
    <w:p>
      <w:pPr>
        <w:spacing w:after="0" w:line="7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table below details common share repurchases made during the three months ended June 30, 2025:</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20" w:type="dxa"/>
            <w:vAlign w:val="bottom"/>
          </w:tcPr>
          <w:p>
            <w:pPr>
              <w:spacing w:after="0"/>
              <w:rPr>
                <w:sz w:val="13"/>
                <w:szCs w:val="13"/>
                <w:color w:val="auto"/>
              </w:rPr>
            </w:pPr>
          </w:p>
        </w:tc>
        <w:tc>
          <w:tcPr>
            <w:tcW w:w="156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Dollar amount still</w:t>
            </w:r>
          </w:p>
        </w:tc>
        <w:tc>
          <w:tcPr>
            <w:tcW w:w="0" w:type="dxa"/>
            <w:vAlign w:val="bottom"/>
          </w:tcPr>
          <w:p>
            <w:pPr>
              <w:spacing w:after="0"/>
              <w:rPr>
                <w:sz w:val="1"/>
                <w:szCs w:val="1"/>
                <w:color w:val="auto"/>
              </w:rPr>
            </w:pPr>
          </w:p>
        </w:tc>
      </w:tr>
      <w:tr>
        <w:trPr>
          <w:trHeight w:val="147"/>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2025</w:t>
            </w: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380" w:type="dxa"/>
            <w:vAlign w:val="bottom"/>
          </w:tcPr>
          <w:p>
            <w:pPr>
              <w:jc w:val="right"/>
              <w:ind w:right="18"/>
              <w:spacing w:after="0" w:line="147" w:lineRule="exact"/>
              <w:rPr>
                <w:sz w:val="20"/>
                <w:szCs w:val="20"/>
                <w:color w:val="auto"/>
              </w:rPr>
            </w:pPr>
            <w:r>
              <w:rPr>
                <w:rFonts w:ascii="Times New Roman" w:cs="Times New Roman" w:eastAsia="Times New Roman" w:hAnsi="Times New Roman"/>
                <w:sz w:val="14"/>
                <w:szCs w:val="14"/>
                <w:b w:val="1"/>
                <w:bCs w:val="1"/>
                <w:color w:val="auto"/>
              </w:rPr>
              <w:t>part of publicly announced plans or</w:t>
            </w:r>
          </w:p>
        </w:tc>
        <w:tc>
          <w:tcPr>
            <w:tcW w:w="120" w:type="dxa"/>
            <w:vAlign w:val="bottom"/>
          </w:tcPr>
          <w:p>
            <w:pPr>
              <w:spacing w:after="0"/>
              <w:rPr>
                <w:sz w:val="12"/>
                <w:szCs w:val="12"/>
                <w:color w:val="auto"/>
              </w:rPr>
            </w:pPr>
          </w:p>
        </w:tc>
        <w:tc>
          <w:tcPr>
            <w:tcW w:w="15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available under trading</w:t>
            </w:r>
          </w:p>
        </w:tc>
        <w:tc>
          <w:tcPr>
            <w:tcW w:w="0" w:type="dxa"/>
            <w:vAlign w:val="bottom"/>
          </w:tcPr>
          <w:p>
            <w:pPr>
              <w:spacing w:after="0"/>
              <w:rPr>
                <w:sz w:val="1"/>
                <w:szCs w:val="1"/>
                <w:color w:val="auto"/>
              </w:rPr>
            </w:pPr>
          </w:p>
        </w:tc>
      </w:tr>
      <w:tr>
        <w:trPr>
          <w:trHeight w:val="194"/>
        </w:trPr>
        <w:tc>
          <w:tcPr>
            <w:tcW w:w="4100" w:type="dxa"/>
            <w:vAlign w:val="bottom"/>
            <w:gridSpan w:val="2"/>
            <w:vMerge w:val="continue"/>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20" w:type="dxa"/>
            <w:vAlign w:val="bottom"/>
          </w:tcPr>
          <w:p>
            <w:pPr>
              <w:spacing w:after="0"/>
              <w:rPr>
                <w:sz w:val="16"/>
                <w:szCs w:val="16"/>
                <w:color w:val="auto"/>
              </w:rPr>
            </w:pPr>
          </w:p>
        </w:tc>
        <w:tc>
          <w:tcPr>
            <w:tcW w:w="14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380" w:type="dxa"/>
            <w:vAlign w:val="bottom"/>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93"/>
        </w:trPr>
        <w:tc>
          <w:tcPr>
            <w:tcW w:w="4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6"/>
        </w:trPr>
        <w:tc>
          <w:tcPr>
            <w:tcW w:w="41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April 1, 2025 - April 30, 2025</w:t>
            </w:r>
          </w:p>
        </w:tc>
        <w:tc>
          <w:tcPr>
            <w:tcW w:w="1560" w:type="dxa"/>
            <w:vAlign w:val="bottom"/>
            <w:gridSpan w:val="2"/>
            <w:shd w:val="clear" w:color="auto" w:fill="CCFFC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FFC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FFCC"/>
          </w:tcPr>
          <w:p>
            <w:pPr>
              <w:jc w:val="right"/>
              <w:ind w:right="28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 May 31, 2025</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00" w:type="dxa"/>
            <w:vAlign w:val="bottom"/>
            <w:gridSpan w:val="2"/>
            <w:shd w:val="clear" w:color="auto" w:fill="CCFFCC"/>
          </w:tcPr>
          <w:p>
            <w:pPr>
              <w:ind w:left="20"/>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560" w:type="dxa"/>
            <w:vAlign w:val="bottom"/>
            <w:gridSpan w:val="2"/>
            <w:shd w:val="clear" w:color="auto" w:fill="CCFFC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1400" w:type="dxa"/>
            <w:vAlign w:val="bottom"/>
            <w:gridSpan w:val="2"/>
            <w:shd w:val="clear" w:color="auto" w:fill="CCFFCC"/>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Subsequent to the three months ended June 30, 2025 and through the period ended August 15, 2025, the Company did not repurchase any common shares.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Ownership and Sales</w:t>
      </w:r>
    </w:p>
    <w:p>
      <w:pPr>
        <w:spacing w:after="0" w:line="88" w:lineRule="exact"/>
        <w:rPr>
          <w:sz w:val="20"/>
          <w:szCs w:val="20"/>
          <w:color w:val="auto"/>
        </w:rPr>
      </w:pPr>
    </w:p>
    <w:p>
      <w:pPr>
        <w:jc w:val="both"/>
        <w:ind w:firstLine="161"/>
        <w:spacing w:after="0" w:line="227" w:lineRule="auto"/>
        <w:rPr>
          <w:sz w:val="20"/>
          <w:szCs w:val="20"/>
          <w:color w:val="auto"/>
        </w:rPr>
      </w:pPr>
      <w:r>
        <w:rPr>
          <w:rFonts w:ascii="Times New Roman" w:cs="Times New Roman" w:eastAsia="Times New Roman" w:hAnsi="Times New Roman"/>
          <w:sz w:val="17"/>
          <w:szCs w:val="17"/>
          <w:color w:val="auto"/>
        </w:rPr>
        <w:t>From time to time, some of the Company’s directors and executives may determine that it is advisable to diversify their investments for personal financial planning reasons, or may seek liquidity for other reasons, and may sell common shares of the Company in the open market, in private transactions or to the Company. To effect such sales, some of the Company’s directors and executives have previously entered into, and may in the future enter into, trading plans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designed to comply with the Company’s Insider Trading and Outside Investments Policy and the provisions of Rule 10b5-1 under the Securities Exchange Act of 1934. The trading plans will not reduce any of the executives’ ownership of the Company’s shares below the applicable executive stock ownership guidelines. The Company does not undertake any obligation to report Rule 10b5-1 plans that may be adopted by any employee or director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future, or to report any modifications or termination of any publicly announced plan.</w:t>
      </w:r>
    </w:p>
    <w:p>
      <w:pPr>
        <w:spacing w:after="0" w:line="55" w:lineRule="exact"/>
        <w:rPr>
          <w:sz w:val="20"/>
          <w:szCs w:val="20"/>
          <w:color w:val="auto"/>
        </w:rPr>
      </w:pPr>
    </w:p>
    <w:p>
      <w:pPr>
        <w:jc w:val="both"/>
        <w:ind w:firstLine="161"/>
        <w:spacing w:after="0" w:line="234" w:lineRule="auto"/>
        <w:rPr>
          <w:sz w:val="20"/>
          <w:szCs w:val="20"/>
          <w:color w:val="auto"/>
        </w:rPr>
      </w:pPr>
      <w:r>
        <w:rPr>
          <w:rFonts w:ascii="Times New Roman" w:cs="Times New Roman" w:eastAsia="Times New Roman" w:hAnsi="Times New Roman"/>
          <w:sz w:val="17"/>
          <w:szCs w:val="17"/>
          <w:color w:val="auto"/>
        </w:rPr>
        <w:t xml:space="preserve">During the three months ended June 30, 2025, none of our directors or executive officers adopted or terminated a Rule 10b5-1 trading arrangement (as defined in Item 408(a)(1)(i) of Regulation S-K) or adopted or terminated a non-Rule 10b5-1 trading arrangement (as defined in Item 408(c) of Regulation </w:t>
      </w:r>
      <w:r>
        <w:rPr>
          <w:rFonts w:ascii="Times New Roman" w:cs="Times New Roman" w:eastAsia="Times New Roman" w:hAnsi="Times New Roman"/>
          <w:sz w:val="17"/>
          <w:szCs w:val="17"/>
          <w:u w:val="single" w:color="auto"/>
          <w:color w:val="auto"/>
        </w:rPr>
        <w: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60" w:type="dxa"/>
            <w:vAlign w:val="bottom"/>
            <w:gridSpan w:val="21"/>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1"/>
        </w:trPr>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1"/>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right w:val="single" w:sz="8" w:color="auto"/>
            </w:tcBorders>
            <w:gridSpan w:val="26"/>
          </w:tcPr>
          <w:p>
            <w:pPr>
              <w:spacing w:after="0" w:line="187"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Combination Agreement, dated as of December 29, 2024, by and among Maiden, Kestrel, Bermuda NewCo, Merger Sub I,</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Merger Sub II, US NewCo and the Kestrel equityholders, incorporated by reference to Exhibit 2.1 to the Registration</w:t>
              </w:r>
            </w:hyperlink>
          </w:p>
        </w:tc>
        <w:tc>
          <w:tcPr>
            <w:tcW w:w="4294967217"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Statement on Form S-4 (File No. 333-285664),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Letter Agreement, amending the Combination Agreement, dated February 17, 2025, by and among Maiden, Kestrel,</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tcBorders>
            <w:gridSpan w:val="24"/>
          </w:tcPr>
          <w:p>
            <w:pPr>
              <w:spacing w:after="0" w:line="16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Bermuda NewCo, Merger Sub I, Merger Sub II, US NewCo and the Kestrel equityholders, incorporated by reference to</w:t>
              </w:r>
            </w:hyperlink>
          </w:p>
        </w:tc>
        <w:tc>
          <w:tcPr>
            <w:tcW w:w="4294967237"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Exhibit 2.2 to the Registration Statement on Form S-4 (File No. 333-285664),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Letter Agreement No. 2, amending the Combination Agreement, dated March 24, 2025, by and among Maiden, Kestrel,</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980" w:type="dxa"/>
            <w:vAlign w:val="bottom"/>
            <w:tcBorders>
              <w:top w:val="single" w:sz="8" w:color="0000FF"/>
              <w:bottom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Bermuda NewCo, Merger Sub I, Merger Sub II, US NewCo and the Kestrel equityholders, incorporated by reference to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Borders>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940" w:type="dxa"/>
            <w:vAlign w:val="bottom"/>
            <w:tcBorders>
              <w:left w:val="single" w:sz="8" w:color="auto"/>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9040" w:type="dxa"/>
            <w:vAlign w:val="bottom"/>
            <w:tcBorders>
              <w:right w:val="single" w:sz="8" w:color="auto"/>
            </w:tcBorders>
            <w:gridSpan w:val="26"/>
            <w:vMerge w:val="restart"/>
          </w:tcPr>
          <w:p>
            <w:pPr>
              <w:spacing w:after="0" w:line="154"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Exhibit 2.3 to the Registration Statement on Form S-4/A (File No. 333-285664), filed March 24, 2025.</w:t>
              </w:r>
            </w:hyperlink>
          </w:p>
        </w:tc>
        <w:tc>
          <w:tcPr>
            <w:tcW w:w="0" w:type="dxa"/>
            <w:vAlign w:val="bottom"/>
          </w:tcPr>
          <w:p>
            <w:pPr>
              <w:spacing w:after="0"/>
              <w:rPr>
                <w:sz w:val="1"/>
                <w:szCs w:val="1"/>
                <w:color w:val="auto"/>
              </w:rPr>
            </w:pPr>
          </w:p>
        </w:tc>
      </w:tr>
      <w:tr>
        <w:trPr>
          <w:trHeight w:val="26"/>
        </w:trPr>
        <w:tc>
          <w:tcPr>
            <w:tcW w:w="940" w:type="dxa"/>
            <w:vAlign w:val="bottom"/>
            <w:tcBorders>
              <w:left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9040" w:type="dxa"/>
            <w:vAlign w:val="bottom"/>
            <w:tcBorders>
              <w:right w:val="single" w:sz="8" w:color="auto"/>
            </w:tcBorders>
            <w:gridSpan w:val="2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940" w:type="dxa"/>
            <w:vAlign w:val="bottom"/>
            <w:tcBorders>
              <w:left w:val="single" w:sz="8" w:color="auto"/>
              <w:bottom w:val="single" w:sz="8" w:color="auto"/>
              <w:right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top w:val="single" w:sz="8" w:color="0000FF"/>
              <w:bottom w:val="single" w:sz="8" w:color="auto"/>
            </w:tcBorders>
          </w:tcPr>
          <w:p>
            <w:pPr>
              <w:spacing w:after="0"/>
              <w:rPr>
                <w:sz w:val="22"/>
                <w:szCs w:val="22"/>
                <w:color w:val="auto"/>
              </w:rPr>
            </w:pPr>
          </w:p>
        </w:tc>
        <w:tc>
          <w:tcPr>
            <w:tcW w:w="640" w:type="dxa"/>
            <w:vAlign w:val="bottom"/>
            <w:tcBorders>
              <w:top w:val="single" w:sz="8" w:color="0000FF"/>
              <w:bottom w:val="single" w:sz="8" w:color="auto"/>
            </w:tcBorders>
          </w:tcPr>
          <w:p>
            <w:pPr>
              <w:spacing w:after="0"/>
              <w:rPr>
                <w:sz w:val="22"/>
                <w:szCs w:val="22"/>
                <w:color w:val="auto"/>
              </w:rPr>
            </w:pPr>
          </w:p>
        </w:tc>
        <w:tc>
          <w:tcPr>
            <w:tcW w:w="1180" w:type="dxa"/>
            <w:vAlign w:val="bottom"/>
            <w:tcBorders>
              <w:top w:val="single" w:sz="8" w:color="0000FF"/>
              <w:bottom w:val="single" w:sz="8" w:color="auto"/>
            </w:tcBorders>
          </w:tcPr>
          <w:p>
            <w:pPr>
              <w:spacing w:after="0"/>
              <w:rPr>
                <w:sz w:val="22"/>
                <w:szCs w:val="22"/>
                <w:color w:val="auto"/>
              </w:rPr>
            </w:pPr>
          </w:p>
        </w:tc>
        <w:tc>
          <w:tcPr>
            <w:tcW w:w="640" w:type="dxa"/>
            <w:vAlign w:val="bottom"/>
            <w:tcBorders>
              <w:top w:val="single" w:sz="8" w:color="0000FF"/>
              <w:bottom w:val="single" w:sz="8" w:color="auto"/>
            </w:tcBorders>
          </w:tcPr>
          <w:p>
            <w:pPr>
              <w:spacing w:after="0"/>
              <w:rPr>
                <w:sz w:val="22"/>
                <w:szCs w:val="22"/>
                <w:color w:val="auto"/>
              </w:rPr>
            </w:pPr>
          </w:p>
        </w:tc>
        <w:tc>
          <w:tcPr>
            <w:tcW w:w="320" w:type="dxa"/>
            <w:vAlign w:val="bottom"/>
            <w:tcBorders>
              <w:top w:val="single" w:sz="8" w:color="0000FF"/>
              <w:bottom w:val="single" w:sz="8" w:color="auto"/>
            </w:tcBorders>
          </w:tcPr>
          <w:p>
            <w:pPr>
              <w:spacing w:after="0"/>
              <w:rPr>
                <w:sz w:val="22"/>
                <w:szCs w:val="22"/>
                <w:color w:val="auto"/>
              </w:rPr>
            </w:pPr>
          </w:p>
        </w:tc>
        <w:tc>
          <w:tcPr>
            <w:tcW w:w="1200" w:type="dxa"/>
            <w:vAlign w:val="bottom"/>
            <w:tcBorders>
              <w:top w:val="single" w:sz="8" w:color="0000FF"/>
              <w:bottom w:val="single" w:sz="8" w:color="auto"/>
            </w:tcBorders>
          </w:tcPr>
          <w:p>
            <w:pPr>
              <w:spacing w:after="0"/>
              <w:rPr>
                <w:sz w:val="22"/>
                <w:szCs w:val="22"/>
                <w:color w:val="auto"/>
              </w:rPr>
            </w:pPr>
          </w:p>
        </w:tc>
        <w:tc>
          <w:tcPr>
            <w:tcW w:w="580" w:type="dxa"/>
            <w:vAlign w:val="bottom"/>
            <w:tcBorders>
              <w:top w:val="single" w:sz="8" w:color="0000FF"/>
              <w:bottom w:val="single" w:sz="8" w:color="auto"/>
            </w:tcBorders>
          </w:tcPr>
          <w:p>
            <w:pPr>
              <w:spacing w:after="0"/>
              <w:rPr>
                <w:sz w:val="22"/>
                <w:szCs w:val="22"/>
                <w:color w:val="auto"/>
              </w:rPr>
            </w:pPr>
          </w:p>
        </w:tc>
        <w:tc>
          <w:tcPr>
            <w:tcW w:w="920" w:type="dxa"/>
            <w:vAlign w:val="bottom"/>
            <w:tcBorders>
              <w:top w:val="single" w:sz="8" w:color="0000FF"/>
              <w:bottom w:val="single" w:sz="8" w:color="auto"/>
            </w:tcBorders>
          </w:tcPr>
          <w:p>
            <w:pPr>
              <w:spacing w:after="0"/>
              <w:rPr>
                <w:sz w:val="22"/>
                <w:szCs w:val="22"/>
                <w:color w:val="auto"/>
              </w:rPr>
            </w:pPr>
          </w:p>
        </w:tc>
        <w:tc>
          <w:tcPr>
            <w:tcW w:w="1280" w:type="dxa"/>
            <w:vAlign w:val="bottom"/>
            <w:tcBorders>
              <w:top w:val="single" w:sz="8" w:color="0000FF"/>
              <w:bottom w:val="single" w:sz="8" w:color="auto"/>
            </w:tcBorders>
          </w:tcPr>
          <w:p>
            <w:pPr>
              <w:spacing w:after="0"/>
              <w:rPr>
                <w:sz w:val="22"/>
                <w:szCs w:val="22"/>
                <w:color w:val="auto"/>
              </w:rPr>
            </w:pPr>
          </w:p>
        </w:tc>
        <w:tc>
          <w:tcPr>
            <w:tcW w:w="180" w:type="dxa"/>
            <w:vAlign w:val="bottom"/>
            <w:tcBorders>
              <w:top w:val="single" w:sz="8" w:color="0000FF"/>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94967217"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bottom w:val="single" w:sz="8" w:color="0000FF"/>
            </w:tcBorders>
            <w:gridSpan w:val="18"/>
          </w:tcPr>
          <w:p>
            <w:pPr>
              <w:spacing w:after="0" w:line="181"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Memorandum of Association of Kestrel Group Ltd, incorporated by reference to Exhibit 3.2 to the Registration Statement</w:t>
              </w:r>
            </w:hyperlink>
          </w:p>
        </w:tc>
        <w:tc>
          <w:tcPr>
            <w:tcW w:w="60" w:type="dxa"/>
            <w:vAlign w:val="bottom"/>
            <w:tcBorders>
              <w:right w:val="single" w:sz="8" w:color="auto"/>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26"/>
            <w:vMerge w:val="restart"/>
          </w:tcPr>
          <w:p>
            <w:pPr>
              <w:spacing w:after="0" w:line="16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on Form S-4/A (File No. 333-285664), filed March 24, 2025.</w:t>
              </w:r>
            </w:hyperlink>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bottom w:val="single" w:sz="8" w:color="0000FF"/>
            </w:tcBorders>
            <w:gridSpan w:val="16"/>
          </w:tcPr>
          <w:p>
            <w:pPr>
              <w:spacing w:after="0" w:line="181"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Bye-Laws of Kestrel Group Ltd, incorporated by reference to Exhibit 3.3 to the Registration Statement on Form S-4 (File</w:t>
              </w:r>
            </w:hyperlink>
          </w:p>
        </w:tc>
        <w:tc>
          <w:tcPr>
            <w:tcW w:w="100" w:type="dxa"/>
            <w:vAlign w:val="bottom"/>
            <w:tcBorders>
              <w:right w:val="single" w:sz="8" w:color="auto"/>
            </w:tcBorders>
            <w:gridSpan w:val="10"/>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26"/>
            <w:vMerge w:val="restart"/>
          </w:tcPr>
          <w:p>
            <w:pPr>
              <w:spacing w:after="0" w:line="16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No. 333-285664), filed March 10, 2025.</w:t>
              </w:r>
            </w:hyperlink>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Second Supplemental Indenture, dated as of May 27, 2025, by and among Maiden Holdings, Ltd., Kestrel Group Ltd, as</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guarantor, and Wilmington Trust, National Association, as trustee, incorporated by reference to Exhibit 4.1 to the Current</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Borders>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gridSpan w:val="22"/>
          </w:tcPr>
          <w:p>
            <w:pPr>
              <w:spacing w:after="0" w:line="154"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Report on Form 8-K, filed on May 30, 2025.</w:t>
              </w:r>
            </w:hyperlink>
          </w:p>
        </w:tc>
        <w:tc>
          <w:tcPr>
            <w:tcW w:w="20" w:type="dxa"/>
            <w:vAlign w:val="bottom"/>
          </w:tcPr>
          <w:p>
            <w:pPr>
              <w:spacing w:after="0"/>
              <w:rPr>
                <w:sz w:val="13"/>
                <w:szCs w:val="13"/>
                <w:color w:val="auto"/>
              </w:rPr>
            </w:pPr>
          </w:p>
        </w:tc>
        <w:tc>
          <w:tcPr>
            <w:tcW w:w="4294967257"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Fourth Supplemental Indenture, dated as of May 27, 2025, by and among Maiden Holdings North America, Ltd., Kestrel</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13"/>
          </w:tcPr>
          <w:p>
            <w:pPr>
              <w:spacing w:after="0" w:line="168"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Group Ltd, as guarantor, and Wilmington Trust Company, as trustee, incorporated by reference to Exhibit 4.2 to the Current</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Borders>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6"/>
          </w:tcPr>
          <w:p>
            <w:pPr>
              <w:spacing w:after="0" w:line="154"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Report on Form 8-K, filed on May 30, 2025.</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Registration and Investor Rights Agreement, dated as of May 27, 2025, by and between Kestrel Group Ltd and Kestrel</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tcBorders>
              <w:top w:val="single" w:sz="8" w:color="0000FF"/>
            </w:tcBorders>
            <w:gridSpan w:val="23"/>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Intermediate Ledbetter Holdings LLC, incorporated by reference to Exhibit 4.3 to the Current Report on Form 8-K, filed on</w:t>
              </w:r>
            </w:hyperlink>
          </w:p>
        </w:tc>
        <w:tc>
          <w:tcPr>
            <w:tcW w:w="4294967257" w:type="dxa"/>
            <w:vAlign w:val="bottom"/>
            <w:tcBorders>
              <w:right w:val="single" w:sz="8" w:color="auto"/>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May 30, 2025.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Borders>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00" w:type="dxa"/>
            <w:vAlign w:val="bottom"/>
            <w:tcBorders>
              <w:bottom w:val="single" w:sz="8" w:color="0000FF"/>
            </w:tcBorders>
            <w:gridSpan w:val="14"/>
          </w:tcPr>
          <w:p>
            <w:pPr>
              <w:spacing w:after="0" w:line="181"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Registration and Investor Rights Agreement, dated as of May 27, 2025, by and between Kestrel Group Ltd and AmTrust</w:t>
              </w:r>
            </w:hyperlink>
          </w:p>
        </w:tc>
        <w:tc>
          <w:tcPr>
            <w:tcW w:w="140" w:type="dxa"/>
            <w:vAlign w:val="bottom"/>
            <w:tcBorders>
              <w:right w:val="single" w:sz="8" w:color="auto"/>
            </w:tcBorders>
            <w:gridSpan w:val="12"/>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26"/>
            <w:vMerge w:val="restart"/>
          </w:tcPr>
          <w:p>
            <w:pPr>
              <w:spacing w:after="0" w:line="16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Financial Services, Inc., incorporated by reference to Exhibit 4.4 to the Current Report on Form 8-K, filed on May 30, 2025.</w:t>
              </w:r>
            </w:hyperlink>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Option Agreement, dated as of May 27, 2025, by and between Kestrel Group LLC and AmTrust</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Financial Services, Inc., incorporated by reference to Exhibit 10.2 to the Registration Statement on Form S-4 (File No. 333-</w:t>
              </w:r>
            </w:hyperlink>
          </w:p>
        </w:tc>
        <w:tc>
          <w:tcPr>
            <w:tcW w:w="20" w:type="dxa"/>
            <w:vAlign w:val="bottom"/>
          </w:tcPr>
          <w:p>
            <w:pPr>
              <w:spacing w:after="0"/>
              <w:rPr>
                <w:sz w:val="14"/>
                <w:szCs w:val="14"/>
                <w:color w:val="auto"/>
              </w:rPr>
            </w:pPr>
          </w:p>
        </w:tc>
        <w:tc>
          <w:tcPr>
            <w:tcW w:w="0" w:type="dxa"/>
            <w:vAlign w:val="bottom"/>
            <w:tcBorders>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285664)</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March 10, 2025.</w:t>
              </w:r>
            </w:hyperlink>
          </w:p>
        </w:tc>
        <w:tc>
          <w:tcPr>
            <w:tcW w:w="40" w:type="dxa"/>
            <w:vAlign w:val="bottom"/>
            <w:gridSpan w:val="2"/>
          </w:tcPr>
          <w:p>
            <w:pPr>
              <w:spacing w:after="0"/>
              <w:rPr>
                <w:sz w:val="13"/>
                <w:szCs w:val="13"/>
                <w:color w:val="auto"/>
              </w:rPr>
            </w:pPr>
          </w:p>
        </w:tc>
        <w:tc>
          <w:tcPr>
            <w:tcW w:w="0" w:type="dxa"/>
            <w:vAlign w:val="bottom"/>
            <w:tcBorders>
              <w:right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bottom w:val="single" w:sz="8" w:color="0000FF"/>
            </w:tcBorders>
            <w:gridSpan w:val="18"/>
          </w:tcPr>
          <w:p>
            <w:pPr>
              <w:spacing w:after="0" w:line="181"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Employment Agreement, dated August 8, 2025, by and between Kestrel Group Ltd and Terry</w:t>
              </w:r>
            </w:hyperlink>
          </w:p>
        </w:tc>
        <w:tc>
          <w:tcPr>
            <w:tcW w:w="60" w:type="dxa"/>
            <w:vAlign w:val="bottom"/>
            <w:tcBorders>
              <w:right w:val="single" w:sz="8" w:color="auto"/>
            </w:tcBorders>
            <w:gridSpan w:val="8"/>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26"/>
            <w:vMerge w:val="restart"/>
          </w:tcPr>
          <w:p>
            <w:pPr>
              <w:spacing w:after="0" w:line="168"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Ledbetter, incorporated by reference to Exhibit 10.1 to the Current Report on Form 8-K, filed on August 14, 2025.</w:t>
              </w:r>
            </w:hyperlink>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Employment Agreement, dated August 8, 2025, by and between Kestrel Group Ltd and Bradford</w:t>
              </w:r>
            </w:hyperlink>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880" w:type="dxa"/>
            <w:vAlign w:val="bottom"/>
            <w:tcBorders>
              <w:top w:val="single" w:sz="8" w:color="0000FF"/>
            </w:tcBorders>
            <w:gridSpan w:val="13"/>
            <w:vMerge w:val="restart"/>
          </w:tcPr>
          <w:p>
            <w:pPr>
              <w:spacing w:after="0" w:line="168"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Luke Ledbetter, incorporated by reference to Exhibit 10.2 to the Current Report on Form 8-K, filed on August 14, 2025.</w:t>
              </w:r>
            </w:hyperlink>
          </w:p>
        </w:tc>
        <w:tc>
          <w:tcPr>
            <w:tcW w:w="160" w:type="dxa"/>
            <w:vAlign w:val="bottom"/>
            <w:tcBorders>
              <w:right w:val="single" w:sz="8" w:color="auto"/>
            </w:tcBorders>
            <w:gridSpan w:val="13"/>
            <w:vMerge w:val="restart"/>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880" w:type="dxa"/>
            <w:vAlign w:val="bottom"/>
            <w:gridSpan w:val="13"/>
            <w:vMerge w:val="continue"/>
          </w:tcPr>
          <w:p>
            <w:pPr>
              <w:spacing w:after="0"/>
              <w:rPr>
                <w:sz w:val="4"/>
                <w:szCs w:val="4"/>
                <w:color w:val="auto"/>
              </w:rPr>
            </w:pPr>
          </w:p>
        </w:tc>
        <w:tc>
          <w:tcPr>
            <w:tcW w:w="160" w:type="dxa"/>
            <w:vAlign w:val="bottom"/>
            <w:tcBorders>
              <w:right w:val="single" w:sz="8" w:color="auto"/>
            </w:tcBorders>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6"/>
          </w:tcPr>
          <w:p>
            <w:pPr>
              <w:spacing w:after="0" w:line="181"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Employment Agreement, by and between Maiden and Patrick J. Haveron, dated as of November 1, 2011,</w:t>
              </w:r>
            </w:hyperlink>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040" w:type="dxa"/>
            <w:vAlign w:val="bottom"/>
            <w:tcBorders>
              <w:top w:val="single" w:sz="8" w:color="0000FF"/>
            </w:tcBorders>
            <w:gridSpan w:val="21"/>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incorporated by reference to Exhibit 10.9 to the Registration Statement on Form S-4 (File No. 333-285664), filed March 10,</w:t>
              </w:r>
            </w:hyperlink>
          </w:p>
        </w:tc>
        <w:tc>
          <w:tcPr>
            <w:tcW w:w="0" w:type="dxa"/>
            <w:vAlign w:val="bottom"/>
            <w:tcBorders>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2025.</w:t>
              </w:r>
            </w:hyperlink>
          </w:p>
        </w:tc>
        <w:tc>
          <w:tcPr>
            <w:tcW w:w="1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1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bottom w:val="single" w:sz="8" w:color="0000FF"/>
            </w:tcBorders>
            <w:gridSpan w:val="16"/>
          </w:tcPr>
          <w:p>
            <w:pPr>
              <w:spacing w:after="0" w:line="181"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Maiden 2019 Omnibus Incentive Plan as of December 10, 2019, incorporated by reference to Exhibit 10.5 to the</w:t>
              </w:r>
            </w:hyperlink>
          </w:p>
        </w:tc>
        <w:tc>
          <w:tcPr>
            <w:tcW w:w="100" w:type="dxa"/>
            <w:vAlign w:val="bottom"/>
            <w:tcBorders>
              <w:right w:val="single" w:sz="8" w:color="auto"/>
            </w:tcBorders>
            <w:gridSpan w:val="10"/>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26"/>
            <w:vMerge w:val="restart"/>
          </w:tcPr>
          <w:p>
            <w:pPr>
              <w:spacing w:after="0" w:line="168"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Registration Statement on Form S-4 (File No. 333-285664), filed March 10, 2025.</w:t>
              </w:r>
            </w:hyperlink>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9040" w:type="dxa"/>
            <w:vAlign w:val="bottom"/>
            <w:tcBorders>
              <w:right w:val="single" w:sz="8" w:color="auto"/>
            </w:tcBorders>
            <w:gridSpan w:val="2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18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94967217"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391" w:right="1440" w:bottom="1440" w:gutter="0" w:footer="0" w:header="0"/>
        </w:sectPr>
      </w:pPr>
    </w:p>
    <w:bookmarkStart w:id="96" w:name="page97"/>
    <w:bookmarkEnd w:id="96"/>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940" w:type="dxa"/>
            <w:vAlign w:val="bottom"/>
            <w:tcBorders>
              <w:top w:val="single" w:sz="8" w:color="auto"/>
              <w:left w:val="single" w:sz="8" w:color="auto"/>
              <w:bottom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40" w:type="dxa"/>
            <w:vAlign w:val="bottom"/>
            <w:tcBorders>
              <w:top w:val="single" w:sz="8" w:color="auto"/>
              <w:bottom w:val="single" w:sz="8" w:color="0000FF"/>
            </w:tcBorders>
            <w:gridSpan w:val="17"/>
          </w:tcPr>
          <w:p>
            <w:pPr>
              <w:spacing w:after="0" w:line="201"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Kestrel Group Ltd 2025 Equity Incentive Plan, incorporated by reference to Exhibit 10.49 to the Registration Statement on</w:t>
              </w:r>
            </w:hyperlink>
          </w:p>
        </w:tc>
        <w:tc>
          <w:tcPr>
            <w:tcW w:w="0" w:type="dxa"/>
            <w:vAlign w:val="bottom"/>
            <w:tcBorders>
              <w:top w:val="single" w:sz="8" w:color="auto"/>
              <w:right w:val="single" w:sz="8" w:color="auto"/>
            </w:tcBorders>
            <w:gridSpan w:val="8"/>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25"/>
            <w:vMerge w:val="restart"/>
          </w:tcPr>
          <w:p>
            <w:pPr>
              <w:spacing w:after="0" w:line="154"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S-4/A (File No. 333-285664), filed March 24, 2025</w:t>
              </w:r>
              <w:r>
                <w:rPr>
                  <w:rFonts w:ascii="Times New Roman" w:cs="Times New Roman" w:eastAsia="Times New Roman" w:hAnsi="Times New Roman"/>
                  <w:sz w:val="17"/>
                  <w:szCs w:val="17"/>
                  <w:color w:val="000000"/>
                </w:rPr>
                <w:t>.</w:t>
              </w:r>
            </w:hyperlink>
          </w:p>
        </w:tc>
        <w:tc>
          <w:tcPr>
            <w:tcW w:w="0" w:type="dxa"/>
            <w:vAlign w:val="bottom"/>
          </w:tcPr>
          <w:p>
            <w:pPr>
              <w:spacing w:after="0"/>
              <w:rPr>
                <w:sz w:val="1"/>
                <w:szCs w:val="1"/>
                <w:color w:val="auto"/>
              </w:rPr>
            </w:pPr>
          </w:p>
        </w:tc>
      </w:tr>
      <w:tr>
        <w:trPr>
          <w:trHeight w:val="40"/>
        </w:trPr>
        <w:tc>
          <w:tcPr>
            <w:tcW w:w="94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40" w:type="dxa"/>
            <w:vAlign w:val="bottom"/>
            <w:tcBorders>
              <w:right w:val="single" w:sz="8" w:color="auto"/>
            </w:tcBorders>
            <w:gridSpan w:val="2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Master Agreement, by and between Maiden Holdings, Ltd. and AmTrust Financial Services, Inc., dated as of July 3, 2007,</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incorporated by reference to Exhibit 10.10 to the Registration Statement on Form S-4 (File No. 333-285664), filed March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5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Borders>
              <w:top w:val="single" w:sz="8" w:color="0000FF"/>
            </w:tcBorders>
            <w:gridSpan w:val="2"/>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10, 2025.</w:t>
              </w:r>
            </w:hyperlink>
          </w:p>
        </w:tc>
        <w:tc>
          <w:tcPr>
            <w:tcW w:w="3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5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1 to the Master Agreement, by and between Maiden Holdings, Ltd. and AmTrust Financial Services, Inc.,</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dated as of September 17, 2007, incorporated by reference to Exhibit 10.11 to the Registration Statement on Form S-4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29496715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gridSpan w:val="24"/>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No. 333-285664), filed March 10, 2025.</w:t>
              </w:r>
            </w:hyperlink>
          </w:p>
        </w:tc>
        <w:tc>
          <w:tcPr>
            <w:tcW w:w="429496715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Amendment No. 2 to the Master Agreement, by and between Maiden Holdings, Ltd. and AmTrust Financial Services, Inc.,</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dated as of January 30, 2019, incorporated by reference to Exhibit 10.12 to the Registration Statement on Form S-4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294967177"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gridSpan w:val="22"/>
          </w:tcPr>
          <w:p>
            <w:pPr>
              <w:spacing w:after="0" w:line="154"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No. 333-285664), filed March 10, 2025.</w:t>
              </w:r>
            </w:hyperlink>
          </w:p>
        </w:tc>
        <w:tc>
          <w:tcPr>
            <w:tcW w:w="20" w:type="dxa"/>
            <w:vAlign w:val="bottom"/>
          </w:tcPr>
          <w:p>
            <w:pPr>
              <w:spacing w:after="0"/>
              <w:rPr>
                <w:sz w:val="13"/>
                <w:szCs w:val="13"/>
                <w:color w:val="auto"/>
              </w:rPr>
            </w:pPr>
          </w:p>
        </w:tc>
        <w:tc>
          <w:tcPr>
            <w:tcW w:w="4294967177"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Quota Share Reinsurance Agreement, by and between Maiden Insurance Company Ltd. and</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AmTrust International Insurance, Ltd., dated as of June 1, 2008, incorporated by reference to Exhibit 10.13 to the</w:t>
              </w:r>
            </w:hyperlink>
          </w:p>
        </w:tc>
        <w:tc>
          <w:tcPr>
            <w:tcW w:w="4294967177"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Registration Statement on Form S-4 (File No. 333-285664),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8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10.11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Asset Management Agreement, by and between AII Insurance Management Limited and Maiden Reinsurance Ltd., dated as</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of January 1, 2018, incorporated by reference to Exhibit 10.18 to the Registration Statement on Form S-4 (File No. 333-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15"/>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285664)</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filed March 10, 2025.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Novation Agreement, between AII Insurance Management Limited, AmTrust Financial Services, Inc. and Maiden</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18"/>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Reinsurance Ltd., dated as of September 9, 2020, incorporated by reference to Exhibit 10.19 to the Registration Statement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on Form S-4 (File No. 333-285664), filed March 10,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Asset Management Agreement, by and between AII Insurance Management Limited and Maiden Life Forsakrings, AB,</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dated as of January 1, 2018, incorporated by reference to Exhibit 10.20 to the Registration Statement on Form S-4 (File No.</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333-285664), filed March 10, 2025.</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right w:val="single" w:sz="8" w:color="auto"/>
            </w:tcBorders>
            <w:gridSpan w:val="25"/>
          </w:tcPr>
          <w:p>
            <w:pPr>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Novation Agreement, between AII Insurance Management Limited, AmTrust Financial Services, Inc. and Maiden Life</w:t>
              </w:r>
            </w:hyperlink>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00" w:type="dxa"/>
            <w:vAlign w:val="bottom"/>
            <w:tcBorders>
              <w:top w:val="single" w:sz="8" w:color="0000FF"/>
            </w:tcBorders>
            <w:gridSpan w:val="10"/>
          </w:tcPr>
          <w:p>
            <w:pPr>
              <w:spacing w:after="0" w:line="181"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Forsakrings, AB, dated as of November 13, 2020, incorporated by reference to Exhibit 10.21 to the Registration Statement</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17" w:type="dxa"/>
            <w:vAlign w:val="bottom"/>
            <w:tcBorders>
              <w:right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top w:val="single" w:sz="8" w:color="0000FF"/>
            </w:tcBorders>
            <w:gridSpan w:val="12"/>
          </w:tcPr>
          <w:p>
            <w:pPr>
              <w:spacing w:after="0" w:line="181"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on Form S-4 (File No. 333-285664), filed March 10, 2025.</w:t>
              </w:r>
            </w:hyperlink>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294967217" w:type="dxa"/>
            <w:vAlign w:val="bottom"/>
            <w:tcBorders>
              <w:right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156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12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94967157"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Asset Management Agreement, by and between AII Insurance Management Limited and Maiden General Forsakrings, AB,</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dated as of January 1, 2018, incorporated by reference to Exhibit 10.22 to the Registration Statement on Form S-4 (File No.</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333-285664), filed March 10, 2025.</w:t>
              </w:r>
            </w:hyperlink>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right w:val="single" w:sz="8" w:color="auto"/>
            </w:tcBorders>
            <w:gridSpan w:val="25"/>
          </w:tcPr>
          <w:p>
            <w:pPr>
              <w:spacing w:after="0" w:line="19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Novation Agreement between AII Insurance Management Limited, AmTrust Financial Services, Inc. and Maiden General</w:t>
              </w:r>
            </w:hyperlink>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top w:val="single" w:sz="8" w:color="0000FF"/>
            </w:tcBorders>
            <w:gridSpan w:val="19"/>
          </w:tcPr>
          <w:p>
            <w:pPr>
              <w:spacing w:after="0" w:line="181"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Forsakrings, AB, dated as of November 13, 2020, incorporated by reference to Exhibit 10.23 to the Registration Statement</w:t>
              </w:r>
            </w:hyperlink>
          </w:p>
        </w:tc>
        <w:tc>
          <w:tcPr>
            <w:tcW w:w="40" w:type="dxa"/>
            <w:vAlign w:val="bottom"/>
            <w:gridSpan w:val="2"/>
          </w:tcPr>
          <w:p>
            <w:pPr>
              <w:spacing w:after="0"/>
              <w:rPr>
                <w:sz w:val="15"/>
                <w:szCs w:val="15"/>
                <w:color w:val="auto"/>
              </w:rPr>
            </w:pPr>
          </w:p>
        </w:tc>
        <w:tc>
          <w:tcPr>
            <w:tcW w:w="4294967217" w:type="dxa"/>
            <w:vAlign w:val="bottom"/>
            <w:tcBorders>
              <w:right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top w:val="single" w:sz="8" w:color="0000FF"/>
            </w:tcBorders>
            <w:gridSpan w:val="12"/>
          </w:tcPr>
          <w:p>
            <w:pPr>
              <w:spacing w:after="0" w:line="181"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on Form S-4 (File No. 333-285664), filed March 10, 2025.</w:t>
              </w:r>
            </w:hyperlink>
          </w:p>
        </w:tc>
        <w:tc>
          <w:tcPr>
            <w:tcW w:w="100" w:type="dxa"/>
            <w:vAlign w:val="bottom"/>
            <w:gridSpan w:val="5"/>
          </w:tcPr>
          <w:p>
            <w:pPr>
              <w:spacing w:after="0"/>
              <w:rPr>
                <w:sz w:val="15"/>
                <w:szCs w:val="15"/>
                <w:color w:val="auto"/>
              </w:rPr>
            </w:pPr>
          </w:p>
        </w:tc>
        <w:tc>
          <w:tcPr>
            <w:tcW w:w="80" w:type="dxa"/>
            <w:vAlign w:val="bottom"/>
            <w:gridSpan w:val="4"/>
          </w:tcPr>
          <w:p>
            <w:pPr>
              <w:spacing w:after="0"/>
              <w:rPr>
                <w:sz w:val="15"/>
                <w:szCs w:val="15"/>
                <w:color w:val="auto"/>
              </w:rPr>
            </w:pPr>
          </w:p>
        </w:tc>
        <w:tc>
          <w:tcPr>
            <w:tcW w:w="4294967217" w:type="dxa"/>
            <w:vAlign w:val="bottom"/>
            <w:tcBorders>
              <w:right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1560" w:type="dxa"/>
            <w:vAlign w:val="bottom"/>
            <w:tcBorders>
              <w:top w:val="single" w:sz="8" w:color="0000FF"/>
              <w:bottom w:val="single" w:sz="8" w:color="auto"/>
            </w:tcBorders>
          </w:tcPr>
          <w:p>
            <w:pPr>
              <w:spacing w:after="0"/>
              <w:rPr>
                <w:sz w:val="4"/>
                <w:szCs w:val="4"/>
                <w:color w:val="auto"/>
              </w:rPr>
            </w:pPr>
          </w:p>
        </w:tc>
        <w:tc>
          <w:tcPr>
            <w:tcW w:w="340" w:type="dxa"/>
            <w:vAlign w:val="bottom"/>
            <w:tcBorders>
              <w:top w:val="single" w:sz="8" w:color="0000FF"/>
              <w:bottom w:val="single" w:sz="8" w:color="auto"/>
            </w:tcBorders>
          </w:tcPr>
          <w:p>
            <w:pPr>
              <w:spacing w:after="0"/>
              <w:rPr>
                <w:sz w:val="4"/>
                <w:szCs w:val="4"/>
                <w:color w:val="auto"/>
              </w:rPr>
            </w:pPr>
          </w:p>
        </w:tc>
        <w:tc>
          <w:tcPr>
            <w:tcW w:w="300" w:type="dxa"/>
            <w:vAlign w:val="bottom"/>
            <w:tcBorders>
              <w:top w:val="single" w:sz="8" w:color="0000FF"/>
              <w:bottom w:val="single" w:sz="8" w:color="auto"/>
            </w:tcBorders>
          </w:tcPr>
          <w:p>
            <w:pPr>
              <w:spacing w:after="0"/>
              <w:rPr>
                <w:sz w:val="4"/>
                <w:szCs w:val="4"/>
                <w:color w:val="auto"/>
              </w:rPr>
            </w:pPr>
          </w:p>
        </w:tc>
        <w:tc>
          <w:tcPr>
            <w:tcW w:w="1240" w:type="dxa"/>
            <w:vAlign w:val="bottom"/>
            <w:tcBorders>
              <w:top w:val="single" w:sz="8" w:color="0000FF"/>
              <w:bottom w:val="single" w:sz="8" w:color="auto"/>
            </w:tcBorders>
          </w:tcPr>
          <w:p>
            <w:pPr>
              <w:spacing w:after="0"/>
              <w:rPr>
                <w:sz w:val="4"/>
                <w:szCs w:val="4"/>
                <w:color w:val="auto"/>
              </w:rPr>
            </w:pPr>
          </w:p>
        </w:tc>
        <w:tc>
          <w:tcPr>
            <w:tcW w:w="100" w:type="dxa"/>
            <w:vAlign w:val="bottom"/>
            <w:tcBorders>
              <w:top w:val="single" w:sz="8" w:color="0000FF"/>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94967157"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Endorsement No. 1 to the Amended and Restated Quota Share Reinsurance Agreement, by and between Maiden Insurance</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Company Ltd. and AmTrust International Insurance, Ltd., dated as of July 26, 2011, incorporated by reference to Exhibit</w:t>
              </w:r>
            </w:hyperlink>
          </w:p>
        </w:tc>
        <w:tc>
          <w:tcPr>
            <w:tcW w:w="429496715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24</w:t>
              </w:r>
              <w:r>
                <w:rPr>
                  <w:rFonts w:ascii="Times New Roman" w:cs="Times New Roman" w:eastAsia="Times New Roman" w:hAnsi="Times New Roman"/>
                  <w:sz w:val="17"/>
                  <w:szCs w:val="17"/>
                  <w:color w:val="0000FF"/>
                </w:rPr>
                <w:t xml:space="preserve"> to the Registration Statement on Form S-4 (File No. 333-285664), filed March 10, 2025.</w:t>
              </w:r>
            </w:hyperlink>
          </w:p>
        </w:tc>
        <w:tc>
          <w:tcPr>
            <w:tcW w:w="80" w:type="dxa"/>
            <w:vAlign w:val="bottom"/>
            <w:gridSpan w:val="4"/>
          </w:tcPr>
          <w:p>
            <w:pPr>
              <w:spacing w:after="0"/>
              <w:rPr>
                <w:sz w:val="13"/>
                <w:szCs w:val="13"/>
                <w:color w:val="auto"/>
              </w:rPr>
            </w:pPr>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25"/>
          </w:tcPr>
          <w:p>
            <w:pPr>
              <w:spacing w:after="0" w:line="181"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Endorsement No. 2 to the Amended and Restated Quota Share Reinsurance Agreement, by and between Maiden Insurance</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Company Ltd. and AmTrust International Insurance, Ltd., dated as of March 7, 2013, incorporated by reference to Exhibit</w:t>
              </w:r>
            </w:hyperlink>
          </w:p>
        </w:tc>
        <w:tc>
          <w:tcPr>
            <w:tcW w:w="4294967157"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25</w:t>
              </w:r>
              <w:r>
                <w:rPr>
                  <w:rFonts w:ascii="Times New Roman" w:cs="Times New Roman" w:eastAsia="Times New Roman" w:hAnsi="Times New Roman"/>
                  <w:sz w:val="17"/>
                  <w:szCs w:val="17"/>
                  <w:color w:val="0000FF"/>
                </w:rPr>
                <w:t xml:space="preserve"> to the Registration Statement on Form S-4 (File No. 333-285664), filed March 10, 2025.</w:t>
              </w:r>
            </w:hyperlink>
          </w:p>
        </w:tc>
        <w:tc>
          <w:tcPr>
            <w:tcW w:w="4294967217"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top w:val="single" w:sz="8" w:color="0000FF"/>
              <w:bottom w:val="single" w:sz="8" w:color="auto"/>
            </w:tcBorders>
          </w:tcPr>
          <w:p>
            <w:pPr>
              <w:spacing w:after="0"/>
              <w:rPr>
                <w:sz w:val="2"/>
                <w:szCs w:val="2"/>
                <w:color w:val="auto"/>
              </w:rPr>
            </w:pPr>
          </w:p>
        </w:tc>
        <w:tc>
          <w:tcPr>
            <w:tcW w:w="1560" w:type="dxa"/>
            <w:vAlign w:val="bottom"/>
            <w:tcBorders>
              <w:top w:val="single" w:sz="8" w:color="0000FF"/>
              <w:bottom w:val="single" w:sz="8" w:color="auto"/>
            </w:tcBorders>
          </w:tcPr>
          <w:p>
            <w:pPr>
              <w:spacing w:after="0"/>
              <w:rPr>
                <w:sz w:val="2"/>
                <w:szCs w:val="2"/>
                <w:color w:val="auto"/>
              </w:rPr>
            </w:pPr>
          </w:p>
        </w:tc>
        <w:tc>
          <w:tcPr>
            <w:tcW w:w="340" w:type="dxa"/>
            <w:vAlign w:val="bottom"/>
            <w:tcBorders>
              <w:top w:val="single" w:sz="8" w:color="0000FF"/>
              <w:bottom w:val="single" w:sz="8" w:color="auto"/>
            </w:tcBorders>
          </w:tcPr>
          <w:p>
            <w:pPr>
              <w:spacing w:after="0"/>
              <w:rPr>
                <w:sz w:val="2"/>
                <w:szCs w:val="2"/>
                <w:color w:val="auto"/>
              </w:rPr>
            </w:pPr>
          </w:p>
        </w:tc>
        <w:tc>
          <w:tcPr>
            <w:tcW w:w="300" w:type="dxa"/>
            <w:vAlign w:val="bottom"/>
            <w:tcBorders>
              <w:top w:val="single" w:sz="8" w:color="0000FF"/>
              <w:bottom w:val="single" w:sz="8" w:color="auto"/>
            </w:tcBorders>
          </w:tcPr>
          <w:p>
            <w:pPr>
              <w:spacing w:after="0"/>
              <w:rPr>
                <w:sz w:val="2"/>
                <w:szCs w:val="2"/>
                <w:color w:val="auto"/>
              </w:rPr>
            </w:pPr>
          </w:p>
        </w:tc>
        <w:tc>
          <w:tcPr>
            <w:tcW w:w="12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1680" w:type="dxa"/>
            <w:vAlign w:val="bottom"/>
            <w:tcBorders>
              <w:top w:val="single" w:sz="8" w:color="0000FF"/>
              <w:bottom w:val="single" w:sz="8" w:color="auto"/>
            </w:tcBorders>
          </w:tcPr>
          <w:p>
            <w:pPr>
              <w:spacing w:after="0"/>
              <w:rPr>
                <w:sz w:val="2"/>
                <w:szCs w:val="2"/>
                <w:color w:val="auto"/>
              </w:rPr>
            </w:pPr>
          </w:p>
        </w:tc>
        <w:tc>
          <w:tcPr>
            <w:tcW w:w="880" w:type="dxa"/>
            <w:vAlign w:val="bottom"/>
            <w:tcBorders>
              <w:top w:val="single" w:sz="8" w:color="0000FF"/>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157"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7" w:name="page98"/>
    <w:bookmarkEnd w:id="9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982980</wp:posOffset>
            </wp:positionV>
            <wp:extent cx="6426835" cy="45453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6426835" cy="4545330"/>
                    </a:xfrm>
                    <a:prstGeom prst="rect">
                      <a:avLst/>
                    </a:prstGeom>
                    <a:noFill/>
                  </pic:spPr>
                </pic:pic>
              </a:graphicData>
            </a:graphic>
          </wp:anchor>
        </w:drawing>
      </w:r>
    </w:p>
    <w:p>
      <w:pPr>
        <w:ind w:left="8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Endorsement No. 3 to the Amended and Restated Quota Share Reinsurance Agreement, by and between AmTrust</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43">
        <w:r>
          <w:rPr>
            <w:rFonts w:ascii="Times New Roman" w:cs="Times New Roman" w:eastAsia="Times New Roman" w:hAnsi="Times New Roman"/>
            <w:sz w:val="18"/>
            <w:szCs w:val="18"/>
            <w:u w:val="single" w:color="auto"/>
            <w:color w:val="0000FF"/>
          </w:rPr>
          <w:t>International Insurance, Ltd. and Maiden Reinsurance Ltd., dated as of September 30, 2015, incorporated by reference to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Exhibit 10.26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Endorsement No 4. to the Amended and Restated Quota Share Reinsurance Agreement, by and between Maiden</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44">
        <w:r>
          <w:rPr>
            <w:rFonts w:ascii="Times New Roman" w:cs="Times New Roman" w:eastAsia="Times New Roman" w:hAnsi="Times New Roman"/>
            <w:sz w:val="18"/>
            <w:szCs w:val="18"/>
            <w:u w:val="single" w:color="auto"/>
            <w:color w:val="0000FF"/>
          </w:rPr>
          <w:t>Reinsurance Ltd. and AmTrust International Insurance, Ltd., dated as of August 8, 2018, incorporated by reference to</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Exhibit 10.27 to the Registration Statement on Form S-4 (File No. 333-285664), filed March 10, 2025.</w:t>
        </w:r>
      </w:hyperlink>
    </w:p>
    <w:p>
      <w:pPr>
        <w:spacing w:after="0" w:line="10"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Endorsement No. 5 to the Amended and Restated Quota Share Reinsurance Agreement, by and between Maiden</w:t>
        </w:r>
      </w:hyperlink>
    </w:p>
    <w:p>
      <w:pPr>
        <w:ind w:left="820" w:right="15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45">
        <w:r>
          <w:rPr>
            <w:rFonts w:ascii="Times New Roman" w:cs="Times New Roman" w:eastAsia="Times New Roman" w:hAnsi="Times New Roman"/>
            <w:sz w:val="18"/>
            <w:szCs w:val="18"/>
            <w:u w:val="single" w:color="auto"/>
            <w:color w:val="0000FF"/>
          </w:rPr>
          <w:t>Reinsurance Ltd. and AmTrust International Insurance, Ltd., dated as of November 6, 2018, incorporated by reference to</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Exhibit 10.28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Quota Share Reinsurance Contract, by and between Maiden Insurance Company Ltd. and AmTrust Europe Limited and/or</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46">
        <w:r>
          <w:rPr>
            <w:rFonts w:ascii="Times New Roman" w:cs="Times New Roman" w:eastAsia="Times New Roman" w:hAnsi="Times New Roman"/>
            <w:sz w:val="18"/>
            <w:szCs w:val="18"/>
            <w:u w:val="single" w:color="auto"/>
            <w:color w:val="0000FF"/>
          </w:rPr>
          <w:t>AmTrust International Underwriters Limited, dated as of April 1, 2011, incorporated by reference to Exhibit 10.29 to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Endorsement No. 1 to the Quota Share Reinsurance Contract, by and between Maiden Insurance Company Ltd. and</w:t>
        </w:r>
      </w:hyperlink>
    </w:p>
    <w:p>
      <w:pPr>
        <w:ind w:left="820" w:right="15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47">
        <w:r>
          <w:rPr>
            <w:rFonts w:ascii="Times New Roman" w:cs="Times New Roman" w:eastAsia="Times New Roman" w:hAnsi="Times New Roman"/>
            <w:sz w:val="18"/>
            <w:szCs w:val="18"/>
            <w:u w:val="single" w:color="auto"/>
            <w:color w:val="0000FF"/>
          </w:rPr>
          <w:t>AmTrust Europe Limited and/or AmTrust International Underwriters Limited, dated as of July 26, 2011, incorporated by</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reference to Exhibit 10.30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Endorsement No. 2 to the Quota Share Reinsurance Contract, by and between Maiden Insurance Company Ltd. and</w:t>
        </w:r>
      </w:hyperlink>
    </w:p>
    <w:p>
      <w:pPr>
        <w:ind w:left="820" w:right="15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48">
        <w:r>
          <w:rPr>
            <w:rFonts w:ascii="Times New Roman" w:cs="Times New Roman" w:eastAsia="Times New Roman" w:hAnsi="Times New Roman"/>
            <w:sz w:val="18"/>
            <w:szCs w:val="18"/>
            <w:u w:val="single" w:color="auto"/>
            <w:color w:val="0000FF"/>
          </w:rPr>
          <w:t>AmTrust Europe Limited and/or AmTrust International Underwriters Limited, dated as of August 7, 2012,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10.31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Endorsement No. 3 to the Amended and Restated Quota Share Reinsurance Agreement by and between Maiden</w:t>
        </w:r>
      </w:hyperlink>
    </w:p>
    <w:p>
      <w:pPr>
        <w:spacing w:after="0" w:line="213" w:lineRule="auto"/>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43">
        <w:r>
          <w:rPr>
            <w:rFonts w:ascii="Times New Roman" w:cs="Times New Roman" w:eastAsia="Times New Roman" w:hAnsi="Times New Roman"/>
            <w:sz w:val="17"/>
            <w:szCs w:val="17"/>
            <w:u w:val="single" w:color="auto"/>
            <w:color w:val="0000FF"/>
          </w:rPr>
          <w:t>Reinsurance Ltd. and AmTrust International Insurance, Ltd. dated as of March 1, 2015,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10.32 to the Registration Statement on Form S-4 (File No. 333-285664), filed March 10, 2025.</w:t>
        </w:r>
      </w:hyperlink>
    </w:p>
    <w:p>
      <w:pPr>
        <w:spacing w:after="0" w:line="15"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Endorsement No. 4 to the Quota Share Reinsurance Contract, by and between Maiden Reinsurance Ltd. and AmTrust</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49">
        <w:r>
          <w:rPr>
            <w:rFonts w:ascii="Times New Roman" w:cs="Times New Roman" w:eastAsia="Times New Roman" w:hAnsi="Times New Roman"/>
            <w:sz w:val="18"/>
            <w:szCs w:val="18"/>
            <w:u w:val="single" w:color="auto"/>
            <w:color w:val="0000FF"/>
          </w:rPr>
          <w:t>Europe Limited and/or AmTrust International Underwriters Limited, dated as of July 1, 2016, incorporated by reference to</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Exhibit 10.33 to the Registration Statement on Form S-4 (File No. 333-285664), filed March 10, 2025.</w:t>
        </w:r>
      </w:hyperlink>
    </w:p>
    <w:p>
      <w:pPr>
        <w:spacing w:after="0" w:line="23" w:lineRule="exact"/>
        <w:rPr>
          <w:sz w:val="20"/>
          <w:szCs w:val="20"/>
          <w:color w:val="auto"/>
        </w:rPr>
      </w:pPr>
    </w:p>
    <w:p>
      <w:pPr>
        <w:ind w:left="820" w:right="159" w:hanging="801"/>
        <w:spacing w:after="0" w:line="236"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150">
        <w:r>
          <w:rPr>
            <w:rFonts w:ascii="Times New Roman" w:cs="Times New Roman" w:eastAsia="Times New Roman" w:hAnsi="Times New Roman"/>
            <w:sz w:val="18"/>
            <w:szCs w:val="18"/>
            <w:u w:val="single" w:color="auto"/>
            <w:color w:val="0000FF"/>
          </w:rPr>
          <w:t>Form of Indemnification Agreement between Kestrel Group Ltd and its officers and directors, incorporated by reference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Exhibit 4.5 to the Current Report on Form 8-K, filed on May 30, 2025.</w:t>
        </w:r>
      </w:hyperlink>
    </w:p>
    <w:p>
      <w:pPr>
        <w:spacing w:after="0" w:line="9"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Partial Termination Endorsement to the Amended and Restated Quota Share Reinsurance Agreement, by and between</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151">
        <w:r>
          <w:rPr>
            <w:rFonts w:ascii="Times New Roman" w:cs="Times New Roman" w:eastAsia="Times New Roman" w:hAnsi="Times New Roman"/>
            <w:sz w:val="18"/>
            <w:szCs w:val="18"/>
            <w:u w:val="single" w:color="auto"/>
            <w:color w:val="0000FF"/>
          </w:rPr>
          <w:t>Maiden Reinsurance Ltd. and AmTrust International Insurance, Ltd., dated January 1, 2019, incorporated by reference to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Exhibit 10.35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Termination Endorsement to the Amended and Restated Quota Share Reinsurance Agreement, by and between Maiden</w:t>
        </w:r>
      </w:hyperlink>
    </w:p>
    <w:p>
      <w:pPr>
        <w:spacing w:after="0" w:line="20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152">
        <w:r>
          <w:rPr>
            <w:rFonts w:ascii="Times New Roman" w:cs="Times New Roman" w:eastAsia="Times New Roman" w:hAnsi="Times New Roman"/>
            <w:sz w:val="18"/>
            <w:szCs w:val="18"/>
            <w:u w:val="single" w:color="auto"/>
            <w:color w:val="0000FF"/>
          </w:rPr>
          <w:t>Reinsurance Ltd. and AmTrust International Insurance, Ltd. dated January 30, 2019,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10.36 to the Registration Statement on Form S-4 (File No. 333-285664), filed March 10, 2025.</w:t>
        </w:r>
      </w:hyperlink>
    </w:p>
    <w:p>
      <w:pPr>
        <w:spacing w:after="0" w:line="41"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53">
        <w:r>
          <w:rPr>
            <w:rFonts w:ascii="Times New Roman" w:cs="Times New Roman" w:eastAsia="Times New Roman" w:hAnsi="Times New Roman"/>
            <w:sz w:val="17"/>
            <w:szCs w:val="17"/>
            <w:u w:val="single" w:color="auto"/>
            <w:color w:val="0000FF"/>
          </w:rPr>
          <w:t>Termination Endorsement to the Quota Share Reinsurance Contract, by and between Maiden Reinsurance Ltd. and AmTrust</w:t>
        </w:r>
      </w:hyperlink>
    </w:p>
    <w:p>
      <w:pPr>
        <w:spacing w:after="0" w:line="20" w:lineRule="exact"/>
        <w:rPr>
          <w:sz w:val="20"/>
          <w:szCs w:val="20"/>
          <w:color w:val="auto"/>
        </w:rPr>
      </w:pPr>
    </w:p>
    <w:p>
      <w:pPr>
        <w:spacing w:after="0"/>
        <w:tabs>
          <w:tab w:leader="none" w:pos="8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153">
        <w:r>
          <w:rPr>
            <w:rFonts w:ascii="Times New Roman" w:cs="Times New Roman" w:eastAsia="Times New Roman" w:hAnsi="Times New Roman"/>
            <w:sz w:val="17"/>
            <w:szCs w:val="17"/>
            <w:u w:val="single" w:color="auto"/>
            <w:color w:val="0000FF"/>
          </w:rPr>
          <w:t>Europe Limited and AmTrust International Underwriters DAC, dated January 30, 2019,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10.37 to the Registration Statement on Form S-4 (File No. 333-285664), filed March 10,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71755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98" w:name="page99"/>
    <w:bookmarkEnd w:id="9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982980</wp:posOffset>
            </wp:positionV>
            <wp:extent cx="6426835" cy="4715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6426835" cy="4715510"/>
                    </a:xfrm>
                    <a:prstGeom prst="rect">
                      <a:avLst/>
                    </a:prstGeom>
                    <a:noFill/>
                  </pic:spPr>
                </pic:pic>
              </a:graphicData>
            </a:graphic>
          </wp:anchor>
        </w:drawing>
      </w:r>
    </w:p>
    <w:p>
      <w:pPr>
        <w:ind w:left="82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Master Agreement, by and among Maiden Holdings, Ltd., Maiden Reinsurance Ltd. and Enstar Group Limited, dated as of</w:t>
        </w:r>
      </w:hyperlink>
    </w:p>
    <w:p>
      <w:pPr>
        <w:spacing w:after="0" w:line="20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156">
        <w:r>
          <w:rPr>
            <w:rFonts w:ascii="Times New Roman" w:cs="Times New Roman" w:eastAsia="Times New Roman" w:hAnsi="Times New Roman"/>
            <w:sz w:val="18"/>
            <w:szCs w:val="18"/>
            <w:u w:val="single" w:color="auto"/>
            <w:color w:val="0000FF"/>
          </w:rPr>
          <w:t>March 1, 2019, incorporated by reference to Exhibit 10.38 to the Registration Statement on Form S-4 (File No. 333-</w:t>
        </w:r>
      </w:hyperlink>
    </w:p>
    <w:p>
      <w:pPr>
        <w:ind w:left="82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285664), filed March 10, 2025.</w:t>
        </w:r>
      </w:hyperlink>
    </w:p>
    <w:p>
      <w:pPr>
        <w:spacing w:after="0" w:line="15"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Adverse Development Cover Agreement, by and between Maiden Reinsurance Ltd. and Cavello Bay Reinsurance Limited,</w:t>
        </w:r>
      </w:hyperlink>
    </w:p>
    <w:p>
      <w:pPr>
        <w:spacing w:after="0" w:line="20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157">
        <w:r>
          <w:rPr>
            <w:rFonts w:ascii="Times New Roman" w:cs="Times New Roman" w:eastAsia="Times New Roman" w:hAnsi="Times New Roman"/>
            <w:sz w:val="18"/>
            <w:szCs w:val="18"/>
            <w:u w:val="single" w:color="auto"/>
            <w:color w:val="0000FF"/>
          </w:rPr>
          <w:t>dated July 31, 2019, incorporated by reference to Exhibit 10.39 to the Registration Statement on Form S-4 (File No. 333-</w:t>
        </w:r>
      </w:hyperlink>
    </w:p>
    <w:p>
      <w:pPr>
        <w:ind w:left="82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285664), filed March 10, 2025.</w:t>
        </w:r>
      </w:hyperlink>
    </w:p>
    <w:p>
      <w:pPr>
        <w:spacing w:after="0" w:line="15"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Commutation Agreement and Release, between Maiden Reinsurance Ltd. and AmTrust International Insurance, dated July</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158">
        <w:r>
          <w:rPr>
            <w:rFonts w:ascii="Times New Roman" w:cs="Times New Roman" w:eastAsia="Times New Roman" w:hAnsi="Times New Roman"/>
            <w:sz w:val="18"/>
            <w:szCs w:val="18"/>
            <w:u w:val="single" w:color="auto"/>
            <w:color w:val="0000FF"/>
          </w:rPr>
          <w:t>31, 2019, incorporated by reference to Exhibit 10.40 to the Registration Statement on Form S-4 (File No. 333-285664), filed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Master Collateral Agreement, between Maiden Reinsurance Ltd., Cavello Bay Reinsurance Limited, AmTrust Financial</w:t>
        </w:r>
      </w:hyperlink>
    </w:p>
    <w:p>
      <w:pPr>
        <w:jc w:val="right"/>
        <w:ind w:right="159"/>
        <w:spacing w:after="0" w:line="20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10.34     </w:t>
      </w:r>
      <w:hyperlink r:id="rId159">
        <w:r>
          <w:rPr>
            <w:rFonts w:ascii="Times New Roman" w:cs="Times New Roman" w:eastAsia="Times New Roman" w:hAnsi="Times New Roman"/>
            <w:sz w:val="18"/>
            <w:szCs w:val="18"/>
            <w:u w:val="single" w:color="auto"/>
            <w:color w:val="0000FF"/>
          </w:rPr>
          <w:t>Services, Inc., AmTrust International Insurance, Ltd. and Technology Insurance Company, Inc., dated July 31, 2019,</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FF"/>
          </w:rPr>
          <w:t>incorporated by reference to Exhibit 10.41 to the Registration Statement on Form S-4 (File No. 333-285664), filed March</w:t>
        </w:r>
      </w:hyperlink>
    </w:p>
    <w:p>
      <w:pPr>
        <w:spacing w:after="0" w:line="1"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10, 2025.</w:t>
        </w:r>
      </w:hyperlink>
    </w:p>
    <w:p>
      <w:pPr>
        <w:spacing w:after="0" w:line="2"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Post-Termination Endorsement No. 1 between Maiden Reinsurance Ltd. and AmTrust International Insurance, Ltd. to the</w:t>
        </w:r>
      </w:hyperlink>
    </w:p>
    <w:p>
      <w:pPr>
        <w:spacing w:after="0" w:line="20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160">
        <w:r>
          <w:rPr>
            <w:rFonts w:ascii="Times New Roman" w:cs="Times New Roman" w:eastAsia="Times New Roman" w:hAnsi="Times New Roman"/>
            <w:sz w:val="18"/>
            <w:szCs w:val="18"/>
            <w:u w:val="single" w:color="auto"/>
            <w:color w:val="0000FF"/>
          </w:rPr>
          <w:t>Amended and Restated Quota Share Reinsurance Agreement, dated July 31, 2019,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10.42 to the Registration Statement on Form S-4 (File No. 333-285664), filed March 10, 2025.</w:t>
        </w:r>
      </w:hyperlink>
    </w:p>
    <w:p>
      <w:pPr>
        <w:spacing w:after="0" w:line="15"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Post-Termination Endorsement No. 1 between Maiden Reinsurance Ltd. and AmTrust Europe Limited and AmTrust</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161">
        <w:r>
          <w:rPr>
            <w:rFonts w:ascii="Times New Roman" w:cs="Times New Roman" w:eastAsia="Times New Roman" w:hAnsi="Times New Roman"/>
            <w:sz w:val="18"/>
            <w:szCs w:val="18"/>
            <w:u w:val="single" w:color="auto"/>
            <w:color w:val="0000FF"/>
          </w:rPr>
          <w:t>International Underwriters DAC to the Quota Share Reinsurance Contract, dated January 13, 2020, incorporated by</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reference to Exhibit 10.43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Post-Termination Endorsement No. 2 between Maiden Reinsurance Ltd. and AmTrust International Insurance, Ltd. to the</w:t>
        </w:r>
      </w:hyperlink>
    </w:p>
    <w:p>
      <w:pPr>
        <w:spacing w:after="0" w:line="20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162">
        <w:r>
          <w:rPr>
            <w:rFonts w:ascii="Times New Roman" w:cs="Times New Roman" w:eastAsia="Times New Roman" w:hAnsi="Times New Roman"/>
            <w:sz w:val="18"/>
            <w:szCs w:val="18"/>
            <w:u w:val="single" w:color="auto"/>
            <w:color w:val="0000FF"/>
          </w:rPr>
          <w:t>Amended and Restated Quota Share Reinsurance Agreement, dated January 13, 2020, incorporated by reference to Exhibit</w:t>
        </w:r>
      </w:hyperlink>
    </w:p>
    <w:p>
      <w:pPr>
        <w:ind w:left="82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10.44 to the Registration Statement on Form S-4 (File No. 333-285664), filed March 10, 2025.</w:t>
        </w:r>
      </w:hyperlink>
    </w:p>
    <w:p>
      <w:pPr>
        <w:spacing w:after="0" w:line="15"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Post-Termination Endorsement No. 2 between Maiden Reinsurance Ltd. and AmTrust Europe Limited and AmTrust</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163">
        <w:r>
          <w:rPr>
            <w:rFonts w:ascii="Times New Roman" w:cs="Times New Roman" w:eastAsia="Times New Roman" w:hAnsi="Times New Roman"/>
            <w:sz w:val="18"/>
            <w:szCs w:val="18"/>
            <w:u w:val="single" w:color="auto"/>
            <w:color w:val="0000FF"/>
          </w:rPr>
          <w:t>International Underwriters DAC to the Quota Share Reinsurance Contract, dated May 12, 2020, incorporated by reference</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to Exhibit 10.45 to the Registration Statement on Form S-4 (File No. 333-285664), filed March 10, 2025.</w:t>
        </w:r>
      </w:hyperlink>
    </w:p>
    <w:p>
      <w:pPr>
        <w:spacing w:after="0" w:line="21"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64">
        <w:r>
          <w:rPr>
            <w:rFonts w:ascii="Times New Roman" w:cs="Times New Roman" w:eastAsia="Times New Roman" w:hAnsi="Times New Roman"/>
            <w:sz w:val="17"/>
            <w:szCs w:val="17"/>
            <w:u w:val="single" w:color="auto"/>
            <w:color w:val="0000FF"/>
          </w:rPr>
          <w:t>Commutation Agreement and Release, by and between AmTrust International Insurance, Ltd. and Maiden Reinsurance Ltd.,</w:t>
        </w:r>
      </w:hyperlink>
    </w:p>
    <w:p>
      <w:pPr>
        <w:spacing w:after="0" w:line="20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164">
        <w:r>
          <w:rPr>
            <w:rFonts w:ascii="Times New Roman" w:cs="Times New Roman" w:eastAsia="Times New Roman" w:hAnsi="Times New Roman"/>
            <w:sz w:val="18"/>
            <w:szCs w:val="18"/>
            <w:u w:val="single" w:color="auto"/>
            <w:color w:val="0000FF"/>
          </w:rPr>
          <w:t>dated May 20, 2020, incorporated by reference to Exhibit 10.46 to the Registration Statement on Form S-4 (File No. 333-</w:t>
        </w:r>
      </w:hyperlink>
    </w:p>
    <w:p>
      <w:pPr>
        <w:ind w:left="82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285664), filed March 10, 2025.</w:t>
        </w:r>
      </w:hyperlink>
    </w:p>
    <w:p>
      <w:pPr>
        <w:spacing w:after="0" w:line="26"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65">
        <w:r>
          <w:rPr>
            <w:rFonts w:ascii="Times New Roman" w:cs="Times New Roman" w:eastAsia="Times New Roman" w:hAnsi="Times New Roman"/>
            <w:sz w:val="17"/>
            <w:szCs w:val="17"/>
            <w:u w:val="single" w:color="auto"/>
            <w:color w:val="0000FF"/>
          </w:rPr>
          <w:t>Renewal Rights and Asset Purchase Agreement, by and between Maiden General Försäkrings AB, Maiden Life Försäkrings</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ab/>
      </w:r>
      <w:hyperlink r:id="rId165">
        <w:r>
          <w:rPr>
            <w:rFonts w:ascii="Times New Roman" w:cs="Times New Roman" w:eastAsia="Times New Roman" w:hAnsi="Times New Roman"/>
            <w:sz w:val="18"/>
            <w:szCs w:val="18"/>
            <w:u w:val="single" w:color="auto"/>
            <w:color w:val="0000FF"/>
          </w:rPr>
          <w:t>AB and AmTrust Nordic AB, dated as of May 3, 2024, incorporated by reference to Exhibit 10.47 to the Registration</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Statement on Form S-4 (File No. 333-285664), filed March 10, 2025.</w:t>
        </w:r>
      </w:hyperlink>
    </w:p>
    <w:p>
      <w:pPr>
        <w:spacing w:after="0" w:line="21" w:lineRule="exact"/>
        <w:rPr>
          <w:sz w:val="20"/>
          <w:szCs w:val="20"/>
          <w:color w:val="auto"/>
        </w:rPr>
      </w:pPr>
    </w:p>
    <w:p>
      <w:pPr>
        <w:ind w:left="820"/>
        <w:spacing w:after="0"/>
        <w:rPr>
          <w:rFonts w:ascii="Times New Roman" w:cs="Times New Roman" w:eastAsia="Times New Roman" w:hAnsi="Times New Roman"/>
          <w:sz w:val="17"/>
          <w:szCs w:val="17"/>
          <w:u w:val="single" w:color="auto"/>
          <w:color w:val="0000FF"/>
        </w:rPr>
      </w:pPr>
      <w:hyperlink r:id="rId166">
        <w:r>
          <w:rPr>
            <w:rFonts w:ascii="Times New Roman" w:cs="Times New Roman" w:eastAsia="Times New Roman" w:hAnsi="Times New Roman"/>
            <w:sz w:val="17"/>
            <w:szCs w:val="17"/>
            <w:u w:val="single" w:color="auto"/>
            <w:color w:val="0000FF"/>
          </w:rPr>
          <w:t>Renewal Rights and Asset Purchase Agreement, by and between Maiden General Försäkrings AB, Maiden Life Försäkrings</w:t>
        </w:r>
      </w:hyperlink>
    </w:p>
    <w:p>
      <w:pPr>
        <w:ind w:left="820" w:right="17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10.41</w:t>
      </w:r>
      <w:r>
        <w:rPr>
          <w:sz w:val="20"/>
          <w:szCs w:val="20"/>
          <w:color w:val="auto"/>
        </w:rPr>
        <w:tab/>
      </w:r>
      <w:hyperlink r:id="rId166">
        <w:r>
          <w:rPr>
            <w:rFonts w:ascii="Times New Roman" w:cs="Times New Roman" w:eastAsia="Times New Roman" w:hAnsi="Times New Roman"/>
            <w:sz w:val="18"/>
            <w:szCs w:val="18"/>
            <w:u w:val="single" w:color="auto"/>
            <w:color w:val="0000FF"/>
          </w:rPr>
          <w:t>AB, AmTrust Europe Limited, and AmTrust International Underwriters DAC, dated as of June 20, 2024, incorporated by</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reference to Exhibit 10.48 to the Registration Statement on Form S-4 (File No. 333-285664), filed March 10, 2025.</w:t>
        </w:r>
      </w:hyperlink>
    </w:p>
    <w:p>
      <w:pPr>
        <w:spacing w:after="0" w:line="10" w:lineRule="exact"/>
        <w:rPr>
          <w:sz w:val="20"/>
          <w:szCs w:val="20"/>
          <w:color w:val="auto"/>
        </w:rPr>
      </w:pPr>
    </w:p>
    <w:p>
      <w:pPr>
        <w:ind w:left="820"/>
        <w:spacing w:after="0"/>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Amended and Restated Loan Agreement, by and between AmTrust Financial Services, Inc. and Maiden Reinsurance Ltd.,</w:t>
        </w:r>
      </w:hyperlink>
    </w:p>
    <w:p>
      <w:pPr>
        <w:ind w:left="820" w:right="159" w:hanging="801"/>
        <w:spacing w:after="0" w:line="224"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10.42</w:t>
      </w:r>
      <w:r>
        <w:rPr>
          <w:sz w:val="20"/>
          <w:szCs w:val="20"/>
          <w:color w:val="auto"/>
        </w:rPr>
        <w:tab/>
      </w:r>
      <w:hyperlink r:id="rId167">
        <w:r>
          <w:rPr>
            <w:rFonts w:ascii="Times New Roman" w:cs="Times New Roman" w:eastAsia="Times New Roman" w:hAnsi="Times New Roman"/>
            <w:sz w:val="18"/>
            <w:szCs w:val="18"/>
            <w:u w:val="single" w:color="auto"/>
            <w:color w:val="0000FF"/>
          </w:rPr>
          <w:t>dated as of January 1, 2025, incorporated by reference to Exhibit 10.48 to Maiden’s Annual Report on Form 10-K for the</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fiscal year ended December 31, 2024 (File No. 001-34042), filed with the SEC on March 10,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71755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879"/>
          </w:cols>
          <w:pgMar w:left="580" w:top="1440" w:right="1440" w:bottom="1440" w:gutter="0" w:footer="0" w:header="0"/>
        </w:sectPr>
      </w:pPr>
    </w:p>
    <w:bookmarkStart w:id="99" w:name="page100"/>
    <w:bookmarkEnd w:id="99"/>
    <w:p>
      <w:pPr>
        <w:spacing w:after="0" w:line="88"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9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Borders>
              <w:top w:val="single" w:sz="8" w:color="auto"/>
              <w:right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40" w:type="dxa"/>
            <w:vAlign w:val="bottom"/>
            <w:tcBorders>
              <w:top w:val="single" w:sz="8" w:color="auto"/>
              <w:right w:val="single" w:sz="8" w:color="auto"/>
            </w:tcBorders>
            <w:gridSpan w:val="14"/>
          </w:tcPr>
          <w:p>
            <w:pPr>
              <w:spacing w:after="0" w:line="201"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Loan Agreement, by and between AmTrust International Insurance, Ltd. and Maiden Reinsurance Ltd., dated as of</w:t>
              </w:r>
            </w:hyperlink>
          </w:p>
        </w:tc>
        <w:tc>
          <w:tcPr>
            <w:tcW w:w="0" w:type="dxa"/>
            <w:vAlign w:val="bottom"/>
          </w:tcPr>
          <w:p>
            <w:pPr>
              <w:spacing w:after="0"/>
              <w:rPr>
                <w:sz w:val="1"/>
                <w:szCs w:val="1"/>
                <w:color w:val="auto"/>
              </w:rPr>
            </w:pPr>
          </w:p>
        </w:tc>
      </w:tr>
      <w:tr>
        <w:trPr>
          <w:trHeight w:val="154"/>
        </w:trPr>
        <w:tc>
          <w:tcPr>
            <w:tcW w:w="940" w:type="dxa"/>
            <w:vAlign w:val="bottom"/>
            <w:tcBorders>
              <w:top w:val="single" w:sz="8" w:color="auto"/>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bottom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December 31, 2024, incorporated by reference to Exhibit 10.49 to Maiden’s Annual Report on Form 10-K for the fiscal year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gridSpan w:val="13"/>
          </w:tcPr>
          <w:p>
            <w:pPr>
              <w:spacing w:after="0" w:line="15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ended December 31, 2024 (File No. 001-34042), filed with the SEC on March 10, 2025.</w:t>
              </w:r>
            </w:hyperlink>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160" w:type="dxa"/>
            <w:vAlign w:val="bottom"/>
            <w:tcBorders>
              <w:top w:val="single" w:sz="8" w:color="0000FF"/>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Post-Termination Endorsement No. 3. between Maiden Reinsurance Ltd. and AmTrust International Insurance, Ltd. to the</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Amended and Restated Quota Share Reinsurance Agreement, dated December 31, 2024, incorporated by reference to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14"/>
            <w:vMerge w:val="restart"/>
          </w:tcPr>
          <w:p>
            <w:pPr>
              <w:spacing w:after="0" w:line="15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Exhibit 10.50 to Maiden’s Annual Report on Form 10-K for the fiscal year ended December 31, 2024 (File No. 001-34042),</w:t>
              </w:r>
            </w:hyperlink>
          </w:p>
        </w:tc>
        <w:tc>
          <w:tcPr>
            <w:tcW w:w="0" w:type="dxa"/>
            <w:vAlign w:val="bottom"/>
          </w:tcPr>
          <w:p>
            <w:pPr>
              <w:spacing w:after="0"/>
              <w:rPr>
                <w:sz w:val="1"/>
                <w:szCs w:val="1"/>
                <w:color w:val="auto"/>
              </w:rPr>
            </w:pPr>
          </w:p>
        </w:tc>
      </w:tr>
      <w:tr>
        <w:trPr>
          <w:trHeight w:val="40"/>
        </w:trPr>
        <w:tc>
          <w:tcPr>
            <w:tcW w:w="94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40" w:type="dxa"/>
            <w:vAlign w:val="bottom"/>
            <w:tcBorders>
              <w:right w:val="single" w:sz="8" w:color="auto"/>
            </w:tcBorders>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tcBorders>
            <w:gridSpan w:val="9"/>
          </w:tcPr>
          <w:p>
            <w:pPr>
              <w:spacing w:after="0" w:line="168"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filed with the SEC on March 10,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Post-Termination Endorsement No. 2 between Maiden Reinsurance Ltd. and AmTrust Europe Limited and AmTrust</w:t>
              </w:r>
            </w:hyperlink>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International Underwriters DAC to the Quota Share Reinsurance Contract, dated February 19, 2025,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40" w:type="dxa"/>
            <w:vAlign w:val="bottom"/>
            <w:tcBorders>
              <w:right w:val="single" w:sz="8" w:color="auto"/>
            </w:tcBorders>
            <w:gridSpan w:val="14"/>
            <w:vMerge w:val="restart"/>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reference to Exhibit 10.51 to Maiden’s Annual Report on Form 10-K for the fiscal year ended December 31, 2024 (File No.</w:t>
              </w:r>
            </w:hyperlink>
          </w:p>
        </w:tc>
        <w:tc>
          <w:tcPr>
            <w:tcW w:w="0" w:type="dxa"/>
            <w:vAlign w:val="bottom"/>
          </w:tcPr>
          <w:p>
            <w:pPr>
              <w:spacing w:after="0"/>
              <w:rPr>
                <w:sz w:val="1"/>
                <w:szCs w:val="1"/>
                <w:color w:val="auto"/>
              </w:rPr>
            </w:pPr>
          </w:p>
        </w:tc>
      </w:tr>
      <w:tr>
        <w:trPr>
          <w:trHeight w:val="40"/>
        </w:trPr>
        <w:tc>
          <w:tcPr>
            <w:tcW w:w="94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9040" w:type="dxa"/>
            <w:vAlign w:val="bottom"/>
            <w:tcBorders>
              <w:right w:val="single" w:sz="8" w:color="auto"/>
            </w:tcBorders>
            <w:gridSpan w:val="1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940" w:type="dxa"/>
            <w:vAlign w:val="bottom"/>
            <w:tcBorders>
              <w:left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tcBorders>
              <w:top w:val="single" w:sz="8" w:color="0000FF"/>
            </w:tcBorders>
            <w:gridSpan w:val="12"/>
          </w:tcPr>
          <w:p>
            <w:pPr>
              <w:spacing w:after="0" w:line="168"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001-34042), filed with the SEC on March 10, 2025.</w:t>
              </w:r>
            </w:hyperlink>
          </w:p>
        </w:tc>
        <w:tc>
          <w:tcPr>
            <w:tcW w:w="80" w:type="dxa"/>
            <w:vAlign w:val="bottom"/>
            <w:tcBorders>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Form of Lock-Up Agreement, incorporated by reference within Registration and Investor Rights Agreements filed as</w:t>
              </w:r>
            </w:hyperlink>
          </w:p>
        </w:tc>
        <w:tc>
          <w:tcPr>
            <w:tcW w:w="0" w:type="dxa"/>
            <w:vAlign w:val="bottom"/>
          </w:tcPr>
          <w:p>
            <w:pPr>
              <w:spacing w:after="0"/>
              <w:rPr>
                <w:sz w:val="1"/>
                <w:szCs w:val="1"/>
                <w:color w:val="auto"/>
              </w:rPr>
            </w:pPr>
          </w:p>
        </w:tc>
      </w:tr>
      <w:tr>
        <w:trPr>
          <w:trHeight w:val="114"/>
        </w:trPr>
        <w:tc>
          <w:tcPr>
            <w:tcW w:w="940" w:type="dxa"/>
            <w:vAlign w:val="bottom"/>
            <w:tcBorders>
              <w:left w:val="single" w:sz="8" w:color="auto"/>
              <w:righ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880" w:type="dxa"/>
            <w:vAlign w:val="bottom"/>
            <w:tcBorders>
              <w:top w:val="single" w:sz="8" w:color="0000FF"/>
            </w:tcBorders>
            <w:gridSpan w:val="8"/>
            <w:vMerge w:val="restart"/>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Exhibits 4.1 and 4.2 to the Registration Statement on Form S-4 (File No. 333-285664), filed March 10, 2025.</w:t>
              </w:r>
            </w:hyperlink>
          </w:p>
        </w:tc>
        <w:tc>
          <w:tcPr>
            <w:tcW w:w="160" w:type="dxa"/>
            <w:vAlign w:val="bottom"/>
            <w:tcBorders>
              <w:right w:val="single" w:sz="8" w:color="auto"/>
            </w:tcBorders>
            <w:gridSpan w:val="6"/>
            <w:vMerge w:val="restart"/>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940" w:type="dxa"/>
            <w:vAlign w:val="bottom"/>
            <w:tcBorders>
              <w:left w:val="single" w:sz="8" w:color="auto"/>
              <w:right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880" w:type="dxa"/>
            <w:vAlign w:val="bottom"/>
            <w:gridSpan w:val="8"/>
            <w:vMerge w:val="continue"/>
          </w:tcPr>
          <w:p>
            <w:pPr>
              <w:spacing w:after="0"/>
              <w:rPr>
                <w:sz w:val="3"/>
                <w:szCs w:val="3"/>
                <w:color w:val="auto"/>
              </w:rPr>
            </w:pPr>
          </w:p>
        </w:tc>
        <w:tc>
          <w:tcPr>
            <w:tcW w:w="160" w:type="dxa"/>
            <w:vAlign w:val="bottom"/>
            <w:tcBorders>
              <w:right w:val="single" w:sz="8" w:color="auto"/>
            </w:tcBorders>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60" w:type="dxa"/>
            <w:vAlign w:val="bottom"/>
            <w:tcBorders>
              <w:top w:val="single" w:sz="8" w:color="0000FF"/>
              <w:bottom w:val="single" w:sz="8" w:color="auto"/>
            </w:tcBorders>
          </w:tcPr>
          <w:p>
            <w:pPr>
              <w:spacing w:after="0"/>
              <w:rPr>
                <w:sz w:val="2"/>
                <w:szCs w:val="2"/>
                <w:color w:val="auto"/>
              </w:rPr>
            </w:pPr>
          </w:p>
        </w:tc>
        <w:tc>
          <w:tcPr>
            <w:tcW w:w="920" w:type="dxa"/>
            <w:vAlign w:val="bottom"/>
            <w:tcBorders>
              <w:top w:val="single" w:sz="8" w:color="0000FF"/>
              <w:bottom w:val="single" w:sz="8" w:color="auto"/>
            </w:tcBorders>
          </w:tcPr>
          <w:p>
            <w:pPr>
              <w:spacing w:after="0"/>
              <w:rPr>
                <w:sz w:val="2"/>
                <w:szCs w:val="2"/>
                <w:color w:val="auto"/>
              </w:rPr>
            </w:pPr>
          </w:p>
        </w:tc>
        <w:tc>
          <w:tcPr>
            <w:tcW w:w="460" w:type="dxa"/>
            <w:vAlign w:val="bottom"/>
            <w:tcBorders>
              <w:top w:val="single" w:sz="8" w:color="0000FF"/>
              <w:bottom w:val="single" w:sz="8" w:color="auto"/>
            </w:tcBorders>
          </w:tcPr>
          <w:p>
            <w:pPr>
              <w:spacing w:after="0"/>
              <w:rPr>
                <w:sz w:val="2"/>
                <w:szCs w:val="2"/>
                <w:color w:val="auto"/>
              </w:rPr>
            </w:pPr>
          </w:p>
        </w:tc>
        <w:tc>
          <w:tcPr>
            <w:tcW w:w="2160" w:type="dxa"/>
            <w:vAlign w:val="bottom"/>
            <w:tcBorders>
              <w:top w:val="single" w:sz="8" w:color="0000FF"/>
              <w:bottom w:val="single" w:sz="8" w:color="auto"/>
            </w:tcBorders>
          </w:tcPr>
          <w:p>
            <w:pPr>
              <w:spacing w:after="0"/>
              <w:rPr>
                <w:sz w:val="2"/>
                <w:szCs w:val="2"/>
                <w:color w:val="auto"/>
              </w:rPr>
            </w:pPr>
          </w:p>
        </w:tc>
        <w:tc>
          <w:tcPr>
            <w:tcW w:w="1500" w:type="dxa"/>
            <w:vAlign w:val="bottom"/>
            <w:tcBorders>
              <w:top w:val="single" w:sz="8" w:color="0000FF"/>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21.1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sz w:val="20"/>
                <w:szCs w:val="20"/>
                <w:color w:val="auto"/>
              </w:rPr>
            </w:pPr>
            <w:r>
              <w:rPr>
                <w:rFonts w:ascii="Times New Roman" w:cs="Times New Roman" w:eastAsia="Times New Roman" w:hAnsi="Times New Roman"/>
                <w:sz w:val="18"/>
                <w:szCs w:val="18"/>
                <w:color w:val="0000FF"/>
              </w:rPr>
              <w:t>List of Subsidiaries of Kestrel Group Ltd (filed herewith).</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31.1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31.2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32.1</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940" w:type="dxa"/>
            <w:vAlign w:val="bottom"/>
            <w:tcBorders>
              <w:left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5"/>
              </w:rPr>
              <w:t>32.2</w:t>
            </w:r>
          </w:p>
        </w:tc>
        <w:tc>
          <w:tcPr>
            <w:tcW w:w="1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right w:val="single" w:sz="8" w:color="auto"/>
            </w:tcBorders>
            <w:gridSpan w:val="14"/>
          </w:tcPr>
          <w:p>
            <w:pPr>
              <w:spacing w:after="0" w:line="181"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760" w:type="dxa"/>
            <w:vAlign w:val="bottom"/>
            <w:tcBorders>
              <w:top w:val="single" w:sz="8" w:color="0000FF"/>
              <w:bottom w:val="single" w:sz="8" w:color="auto"/>
            </w:tcBorders>
          </w:tcPr>
          <w:p>
            <w:pPr>
              <w:spacing w:after="0" w:line="20" w:lineRule="exact"/>
              <w:rPr>
                <w:sz w:val="1"/>
                <w:szCs w:val="1"/>
                <w:color w:val="auto"/>
              </w:rPr>
            </w:pPr>
          </w:p>
        </w:tc>
        <w:tc>
          <w:tcPr>
            <w:tcW w:w="9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160" w:type="dxa"/>
            <w:vAlign w:val="bottom"/>
            <w:tcBorders>
              <w:top w:val="single" w:sz="8" w:color="0000FF"/>
              <w:bottom w:val="single" w:sz="8" w:color="auto"/>
            </w:tcBorders>
          </w:tcPr>
          <w:p>
            <w:pPr>
              <w:spacing w:after="0" w:line="20" w:lineRule="exact"/>
              <w:rPr>
                <w:sz w:val="1"/>
                <w:szCs w:val="1"/>
                <w:color w:val="auto"/>
              </w:rPr>
            </w:pPr>
          </w:p>
        </w:tc>
        <w:tc>
          <w:tcPr>
            <w:tcW w:w="15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right w:val="single" w:sz="8" w:color="auto"/>
            </w:tcBorders>
            <w:gridSpan w:val="14"/>
          </w:tcPr>
          <w:p>
            <w:pPr>
              <w:spacing w:after="0" w:line="155" w:lineRule="exact"/>
              <w:rPr>
                <w:sz w:val="20"/>
                <w:szCs w:val="20"/>
                <w:color w:val="auto"/>
              </w:rPr>
            </w:pPr>
            <w:r>
              <w:rPr>
                <w:rFonts w:ascii="Times New Roman" w:cs="Times New Roman" w:eastAsia="Times New Roman" w:hAnsi="Times New Roman"/>
                <w:sz w:val="16"/>
                <w:szCs w:val="16"/>
                <w:color w:val="auto"/>
              </w:rPr>
              <w:t>The following materials from Kestrel Group Ltd Quarterly Report on Form 10-Q for the quarter ended June 30, 2025 formatted in Inline</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right w:val="single" w:sz="8" w:color="auto"/>
            </w:tcBorders>
            <w:gridSpan w:val="14"/>
          </w:tcPr>
          <w:p>
            <w:pPr>
              <w:spacing w:after="0" w:line="161" w:lineRule="exact"/>
              <w:rPr>
                <w:sz w:val="20"/>
                <w:szCs w:val="20"/>
                <w:color w:val="auto"/>
              </w:rPr>
            </w:pPr>
            <w:r>
              <w:rPr>
                <w:rFonts w:ascii="Times New Roman" w:cs="Times New Roman" w:eastAsia="Times New Roman" w:hAnsi="Times New Roman"/>
                <w:sz w:val="16"/>
                <w:szCs w:val="16"/>
                <w:color w:val="auto"/>
              </w:rPr>
              <w:t>XBRL: (i) unaudited Condensed Consolidated Balance Sheets; (ii) unaudited Condensed Consolidated Statements of Income; (iii)</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right w:val="single" w:sz="8" w:color="auto"/>
            </w:tcBorders>
            <w:gridSpan w:val="14"/>
          </w:tcPr>
          <w:p>
            <w:pPr>
              <w:spacing w:after="0" w:line="161" w:lineRule="exact"/>
              <w:rPr>
                <w:sz w:val="20"/>
                <w:szCs w:val="20"/>
                <w:color w:val="auto"/>
              </w:rPr>
            </w:pPr>
            <w:r>
              <w:rPr>
                <w:rFonts w:ascii="Times New Roman" w:cs="Times New Roman" w:eastAsia="Times New Roman" w:hAnsi="Times New Roman"/>
                <w:sz w:val="16"/>
                <w:szCs w:val="16"/>
                <w:color w:val="auto"/>
              </w:rPr>
              <w:t>unaudited Condensed Consolidated Statements of Comprehensive Income; (iv) unaudited Condensed Consolidated Statements of</w:t>
            </w:r>
          </w:p>
        </w:tc>
        <w:tc>
          <w:tcPr>
            <w:tcW w:w="0" w:type="dxa"/>
            <w:vAlign w:val="bottom"/>
          </w:tcPr>
          <w:p>
            <w:pPr>
              <w:spacing w:after="0"/>
              <w:rPr>
                <w:sz w:val="1"/>
                <w:szCs w:val="1"/>
                <w:color w:val="auto"/>
              </w:rPr>
            </w:pPr>
          </w:p>
        </w:tc>
      </w:tr>
      <w:tr>
        <w:trPr>
          <w:trHeight w:val="161"/>
        </w:trPr>
        <w:tc>
          <w:tcPr>
            <w:tcW w:w="940" w:type="dxa"/>
            <w:vAlign w:val="bottom"/>
            <w:tcBorders>
              <w:left w:val="single" w:sz="8" w:color="auto"/>
              <w:right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right w:val="single" w:sz="8" w:color="auto"/>
            </w:tcBorders>
            <w:gridSpan w:val="14"/>
          </w:tcPr>
          <w:p>
            <w:pPr>
              <w:spacing w:after="0" w:line="161" w:lineRule="exact"/>
              <w:rPr>
                <w:sz w:val="20"/>
                <w:szCs w:val="20"/>
                <w:color w:val="auto"/>
              </w:rPr>
            </w:pPr>
            <w:r>
              <w:rPr>
                <w:rFonts w:ascii="Times New Roman" w:cs="Times New Roman" w:eastAsia="Times New Roman" w:hAnsi="Times New Roman"/>
                <w:sz w:val="16"/>
                <w:szCs w:val="16"/>
                <w:color w:val="auto"/>
              </w:rPr>
              <w:t>Changes in Shareholders' Equity; (v) unaudited Condensed Consolidated Statements of Cash Flows; and (vi) Notes to unaudited</w:t>
            </w:r>
          </w:p>
        </w:tc>
        <w:tc>
          <w:tcPr>
            <w:tcW w:w="0" w:type="dxa"/>
            <w:vAlign w:val="bottom"/>
          </w:tcPr>
          <w:p>
            <w:pPr>
              <w:spacing w:after="0"/>
              <w:rPr>
                <w:sz w:val="1"/>
                <w:szCs w:val="1"/>
                <w:color w:val="auto"/>
              </w:rPr>
            </w:pPr>
          </w:p>
        </w:tc>
      </w:tr>
      <w:tr>
        <w:trPr>
          <w:trHeight w:val="212"/>
        </w:trPr>
        <w:tc>
          <w:tcPr>
            <w:tcW w:w="940" w:type="dxa"/>
            <w:vAlign w:val="bottom"/>
            <w:tcBorders>
              <w:left w:val="single" w:sz="8" w:color="auto"/>
              <w:bottom w:val="single" w:sz="8" w:color="auto"/>
              <w:right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4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6"/>
                <w:szCs w:val="16"/>
                <w:color w:val="auto"/>
              </w:rPr>
              <w:t>Condensed Consolidated Financial Statements.</w:t>
            </w:r>
          </w:p>
        </w:tc>
        <w:tc>
          <w:tcPr>
            <w:tcW w:w="0" w:type="dxa"/>
            <w:vAlign w:val="bottom"/>
          </w:tcPr>
          <w:p>
            <w:pPr>
              <w:spacing w:after="0"/>
              <w:rPr>
                <w:sz w:val="1"/>
                <w:szCs w:val="1"/>
                <w:color w:val="auto"/>
              </w:rPr>
            </w:pPr>
          </w:p>
        </w:tc>
      </w:tr>
      <w:tr>
        <w:trPr>
          <w:trHeight w:val="224"/>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40" w:type="dxa"/>
            <w:vAlign w:val="bottom"/>
            <w:tcBorders>
              <w:bottom w:val="single" w:sz="8" w:color="auto"/>
              <w:right w:val="single" w:sz="8" w:color="auto"/>
            </w:tcBorders>
            <w:gridSpan w:val="1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79" w:lineRule="exact"/>
        <w:rPr>
          <w:sz w:val="20"/>
          <w:szCs w:val="20"/>
          <w:color w:val="auto"/>
        </w:rPr>
      </w:pPr>
    </w:p>
    <w:p>
      <w:pPr>
        <w:ind w:firstLine="241"/>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MAIDEN HOLDINGS, LTD.</w:t>
      </w:r>
    </w:p>
    <w:p>
      <w:pPr>
        <w:spacing w:after="0" w:line="2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w:t>
      </w:r>
    </w:p>
    <w:p>
      <w:pPr>
        <w:spacing w:after="0" w:line="21" w:lineRule="exact"/>
        <w:rPr>
          <w:sz w:val="20"/>
          <w:szCs w:val="20"/>
          <w:color w:val="auto"/>
        </w:rPr>
      </w:pPr>
    </w:p>
    <w:p>
      <w:pPr>
        <w:ind w:left="260"/>
        <w:spacing w:after="0"/>
        <w:tabs>
          <w:tab w:leader="none" w:pos="5600" w:val="left"/>
        </w:tabs>
        <w:rPr>
          <w:sz w:val="20"/>
          <w:szCs w:val="20"/>
          <w:color w:val="auto"/>
        </w:rPr>
      </w:pPr>
      <w:r>
        <w:rPr>
          <w:rFonts w:ascii="Times New Roman" w:cs="Times New Roman" w:eastAsia="Times New Roman" w:hAnsi="Times New Roman"/>
          <w:sz w:val="18"/>
          <w:szCs w:val="18"/>
          <w:color w:val="auto"/>
        </w:rPr>
        <w:t>August 15, 2025</w:t>
      </w:r>
      <w:r>
        <w:rPr>
          <w:sz w:val="20"/>
          <w:szCs w:val="20"/>
          <w:color w:val="auto"/>
        </w:rPr>
        <w:tab/>
      </w:r>
      <w:r>
        <w:rPr>
          <w:rFonts w:ascii="Times New Roman" w:cs="Times New Roman" w:eastAsia="Times New Roman" w:hAnsi="Times New Roman"/>
          <w:sz w:val="17"/>
          <w:szCs w:val="17"/>
          <w:color w:val="auto"/>
        </w:rPr>
        <w:t>/s/ Bradford Luke Ledbetter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13335</wp:posOffset>
            </wp:positionV>
            <wp:extent cx="364680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3646805" cy="17145"/>
                    </a:xfrm>
                    <a:prstGeom prst="rect">
                      <a:avLst/>
                    </a:prstGeom>
                    <a:noFill/>
                  </pic:spPr>
                </pic:pic>
              </a:graphicData>
            </a:graphic>
          </wp:anchor>
        </w:drawing>
      </w:r>
    </w:p>
    <w:p>
      <w:pPr>
        <w:spacing w:after="0" w:line="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Bradford Luke Ledbetter</w:t>
      </w:r>
    </w:p>
    <w:p>
      <w:pPr>
        <w:ind w:left="56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Patrick J. Haveron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646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3646805" cy="825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Patrick J. Haveron</w:t>
      </w:r>
    </w:p>
    <w:p>
      <w:pPr>
        <w:ind w:left="5620"/>
        <w:spacing w:after="0"/>
        <w:rPr>
          <w:sz w:val="20"/>
          <w:szCs w:val="20"/>
          <w:color w:val="auto"/>
        </w:rPr>
      </w:pPr>
      <w:r>
        <w:rPr>
          <w:rFonts w:ascii="Times New Roman" w:cs="Times New Roman" w:eastAsia="Times New Roman" w:hAnsi="Times New Roman"/>
          <w:sz w:val="18"/>
          <w:szCs w:val="18"/>
          <w:color w:val="auto"/>
        </w:rPr>
        <w:t>President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868"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7"/>
        </w:trPr>
        <w:tc>
          <w:tcPr>
            <w:tcW w:w="7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29"/>
        </w:trPr>
        <w:tc>
          <w:tcPr>
            <w:tcW w:w="7940" w:type="dxa"/>
            <w:vAlign w:val="bottom"/>
            <w:gridSpan w:val="2"/>
          </w:tcPr>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6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2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06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23"/>
        </w:trPr>
        <w:tc>
          <w:tcPr>
            <w:tcW w:w="7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Kestrel Group Ltd</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color w:val="auto"/>
                <w:w w:val="95"/>
              </w:rPr>
              <w:t>(1)</w:t>
            </w:r>
          </w:p>
        </w:tc>
        <w:tc>
          <w:tcPr>
            <w:tcW w:w="2060" w:type="dxa"/>
            <w:vAlign w:val="bottom"/>
            <w:tcBorders>
              <w:top w:val="single" w:sz="8" w:color="auto"/>
            </w:tcBorders>
          </w:tcPr>
          <w:p>
            <w:pPr>
              <w:spacing w:after="0"/>
              <w:rPr>
                <w:sz w:val="19"/>
                <w:szCs w:val="19"/>
                <w:color w:val="auto"/>
              </w:rPr>
            </w:pPr>
          </w:p>
        </w:tc>
      </w:tr>
      <w:tr>
        <w:trPr>
          <w:trHeight w:val="228"/>
        </w:trPr>
        <w:tc>
          <w:tcPr>
            <w:tcW w:w="7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Kestrel Holdings Worldwide LLC</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7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Kestrel Group LLC</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Kestrel Insurance Agency, LLC</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(2)</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Kestrel Service Corporation</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(2)</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7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Maiden Holdings, Ltd.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Bermuda</w:t>
            </w:r>
          </w:p>
        </w:tc>
      </w:tr>
      <w:tr>
        <w:trPr>
          <w:trHeight w:val="228"/>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Maiden Holdings North America, Ltd.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79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Maiden Global Servicing Company, LLC</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(3)</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7940" w:type="dxa"/>
            <w:vAlign w:val="bottom"/>
            <w:gridSpan w:val="2"/>
          </w:tcPr>
          <w:p>
            <w:pPr>
              <w:jc w:val="right"/>
              <w:ind w:right="5260"/>
              <w:spacing w:after="0"/>
              <w:rPr>
                <w:sz w:val="20"/>
                <w:szCs w:val="20"/>
                <w:color w:val="auto"/>
              </w:rPr>
            </w:pPr>
            <w:r>
              <w:rPr>
                <w:rFonts w:ascii="Times New Roman" w:cs="Times New Roman" w:eastAsia="Times New Roman" w:hAnsi="Times New Roman"/>
                <w:sz w:val="18"/>
                <w:szCs w:val="18"/>
                <w:color w:val="auto"/>
              </w:rPr>
              <w:t>Maiden Reinsurance Ltd.</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(4)</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Vermont</w:t>
            </w:r>
          </w:p>
        </w:tc>
      </w:tr>
      <w:tr>
        <w:trPr>
          <w:trHeight w:val="228"/>
        </w:trPr>
        <w:tc>
          <w:tcPr>
            <w:tcW w:w="79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Genesis Legacy Solutions, LLC ("GLS")</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(5)</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7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GLS Services Company ("GLS Services")</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(6)</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79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Genesis Legacy Insurance Company (Vermont) Limited</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(7)</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Vermont</w:t>
            </w:r>
          </w:p>
        </w:tc>
      </w:tr>
      <w:tr>
        <w:trPr>
          <w:trHeight w:val="228"/>
        </w:trPr>
        <w:tc>
          <w:tcPr>
            <w:tcW w:w="7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AMS – Genesis Incorporated Cell Company</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(8)</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Vermont</w:t>
            </w:r>
          </w:p>
        </w:tc>
      </w:tr>
      <w:tr>
        <w:trPr>
          <w:trHeight w:val="228"/>
        </w:trPr>
        <w:tc>
          <w:tcPr>
            <w:tcW w:w="7940" w:type="dxa"/>
            <w:vAlign w:val="bottom"/>
            <w:gridSpan w:val="2"/>
          </w:tcPr>
          <w:p>
            <w:pPr>
              <w:jc w:val="right"/>
              <w:ind w:right="5260"/>
              <w:spacing w:after="0"/>
              <w:rPr>
                <w:sz w:val="20"/>
                <w:szCs w:val="20"/>
                <w:color w:val="auto"/>
              </w:rPr>
            </w:pPr>
            <w:r>
              <w:rPr>
                <w:rFonts w:ascii="Times New Roman" w:cs="Times New Roman" w:eastAsia="Times New Roman" w:hAnsi="Times New Roman"/>
                <w:sz w:val="18"/>
                <w:szCs w:val="18"/>
                <w:color w:val="auto"/>
              </w:rPr>
              <w:t>CPA Insurance Inc.</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5"/>
              </w:rPr>
              <w:t>(9)</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Vermont</w:t>
            </w:r>
          </w:p>
        </w:tc>
      </w:tr>
      <w:tr>
        <w:trPr>
          <w:trHeight w:val="228"/>
        </w:trPr>
        <w:tc>
          <w:tcPr>
            <w:tcW w:w="7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NEKO 2018 A, LLC</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3"/>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7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NEKO 2018 D, LLC</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3"/>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7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NEKO 2018 E, LLC</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3"/>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Texas</w:t>
            </w:r>
          </w:p>
        </w:tc>
      </w:tr>
      <w:tr>
        <w:trPr>
          <w:trHeight w:val="228"/>
        </w:trPr>
        <w:tc>
          <w:tcPr>
            <w:tcW w:w="7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94 Pembroke GP Corp.</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3"/>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28"/>
        </w:trPr>
        <w:tc>
          <w:tcPr>
            <w:tcW w:w="7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94 Pembroke LP Corp.</w:t>
            </w:r>
          </w:p>
        </w:tc>
        <w:tc>
          <w:tcPr>
            <w:tcW w:w="12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3"/>
              </w:rPr>
              <w:t>(10)</w:t>
            </w: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28"/>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Maiden Life Försäkrings AB</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Sweden</w:t>
            </w:r>
          </w:p>
        </w:tc>
      </w:tr>
      <w:tr>
        <w:trPr>
          <w:trHeight w:val="228"/>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Maiden General Försäkrings AB</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Sweden</w:t>
            </w:r>
          </w:p>
        </w:tc>
      </w:tr>
      <w:tr>
        <w:trPr>
          <w:trHeight w:val="228"/>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Regulatory Capital Limited</w:t>
            </w:r>
          </w:p>
        </w:tc>
        <w:tc>
          <w:tcPr>
            <w:tcW w:w="1240" w:type="dxa"/>
            <w:vAlign w:val="bottom"/>
          </w:tcPr>
          <w:p>
            <w:pPr>
              <w:spacing w:after="0"/>
              <w:rPr>
                <w:sz w:val="19"/>
                <w:szCs w:val="19"/>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Ireland</w:t>
            </w:r>
          </w:p>
        </w:tc>
      </w:tr>
      <w:tr>
        <w:trPr>
          <w:trHeight w:val="233"/>
        </w:trPr>
        <w:tc>
          <w:tcPr>
            <w:tcW w:w="7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Maiden Global Holdings Ltd.</w:t>
            </w:r>
          </w:p>
        </w:tc>
        <w:tc>
          <w:tcPr>
            <w:tcW w:w="1240" w:type="dxa"/>
            <w:vAlign w:val="bottom"/>
          </w:tcPr>
          <w:p>
            <w:pPr>
              <w:spacing w:after="0"/>
              <w:rPr>
                <w:sz w:val="20"/>
                <w:szCs w:val="20"/>
                <w:color w:val="auto"/>
              </w:rPr>
            </w:pPr>
          </w:p>
        </w:tc>
        <w:tc>
          <w:tcPr>
            <w:tcW w:w="2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England &amp; Wales</w:t>
            </w:r>
          </w:p>
        </w:tc>
      </w:tr>
    </w:tbl>
    <w:p>
      <w:pPr>
        <w:spacing w:after="0" w:line="299" w:lineRule="exact"/>
        <w:rPr>
          <w:sz w:val="20"/>
          <w:szCs w:val="20"/>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subsidiaries are 100% wholly owned by Kestrel Group Ltd unless otherwise noted.</w:t>
      </w:r>
    </w:p>
    <w:p>
      <w:pPr>
        <w:spacing w:after="0" w:line="2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Kestrel Group LLC.</w:t>
      </w:r>
    </w:p>
    <w:p>
      <w:pPr>
        <w:spacing w:after="0" w:line="1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Maiden Holdings North America, Ltd.</w:t>
      </w:r>
    </w:p>
    <w:p>
      <w:pPr>
        <w:spacing w:after="0" w:line="1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16, 2020, Maiden Reinsurance Ltd. is domiciled in Vermont, United States and became 100% wholly owned subsidiary of Maiden Holdings North America, Ltd.</w:t>
      </w:r>
    </w:p>
    <w:p>
      <w:pPr>
        <w:spacing w:after="0" w:line="1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GLS was acquired by Maiden Reinsurance Ltd. on November 24, 2020.</w:t>
      </w:r>
    </w:p>
    <w:p>
      <w:pPr>
        <w:spacing w:after="0" w:line="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w:t>
      </w:r>
    </w:p>
    <w:p>
      <w:pPr>
        <w:spacing w:after="0" w:line="8"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 Services incorporated on July 19, 2021.</w:t>
      </w:r>
    </w:p>
    <w:p>
      <w:pPr>
        <w:spacing w:after="0" w:line="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 Services incorporated on December 29, 2021.</w:t>
      </w:r>
    </w:p>
    <w:p>
      <w:pPr>
        <w:spacing w:after="0" w:line="8"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GLS acquired on December 30, 2022.</w:t>
      </w:r>
    </w:p>
    <w:p>
      <w:pPr>
        <w:spacing w:after="0" w:line="13"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wholly owned subsidiary of Maiden Reinsurance Ltd.</w:t>
      </w:r>
    </w:p>
    <w:p>
      <w:pPr>
        <w:sectPr>
          <w:pgSz w:w="11900" w:h="16838" w:orient="portrait"/>
          <w:cols w:equalWidth="0" w:num="1">
            <w:col w:w="11240"/>
          </w:cols>
          <w:pgMar w:left="320" w:top="881"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Bradford Luke Ledbetter, certify that:</w:t>
      </w:r>
    </w:p>
    <w:p>
      <w:pPr>
        <w:spacing w:after="0" w:line="356" w:lineRule="exact"/>
        <w:rPr>
          <w:sz w:val="20"/>
          <w:szCs w:val="20"/>
          <w:color w:val="auto"/>
        </w:rPr>
      </w:pPr>
    </w:p>
    <w:p>
      <w:pPr>
        <w:ind w:left="380" w:hanging="355"/>
        <w:spacing w:after="0"/>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Kestrel Group Ltd;</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jc w:val="both"/>
        <w:ind w:left="380" w:right="20" w:hanging="355"/>
        <w:spacing w:after="0" w:line="230"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380" w:right="20" w:hanging="355"/>
        <w:spacing w:after="0" w:line="23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both"/>
        <w:ind w:left="380" w:right="20" w:hanging="355"/>
        <w:spacing w:after="0" w:line="230"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both"/>
        <w:ind w:left="760" w:right="20" w:hanging="373"/>
        <w:spacing w:after="0" w:line="230" w:lineRule="auto"/>
        <w:tabs>
          <w:tab w:leader="none" w:pos="7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both"/>
        <w:ind w:left="760" w:right="20" w:hanging="373"/>
        <w:spacing w:after="0" w:line="224" w:lineRule="auto"/>
        <w:tabs>
          <w:tab w:leader="none" w:pos="7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ind w:left="760" w:right="20" w:hanging="373"/>
        <w:spacing w:after="0" w:line="236" w:lineRule="auto"/>
        <w:tabs>
          <w:tab w:leader="none" w:pos="7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both"/>
        <w:ind w:left="760" w:right="20" w:hanging="373"/>
        <w:spacing w:after="0" w:line="230" w:lineRule="auto"/>
        <w:tabs>
          <w:tab w:leader="none" w:pos="7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380" w:right="20" w:hanging="355"/>
        <w:spacing w:after="0" w:line="248"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760" w:right="20" w:hanging="373"/>
        <w:spacing w:after="0" w:line="236" w:lineRule="auto"/>
        <w:tabs>
          <w:tab w:leader="none" w:pos="7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760" w:right="20" w:hanging="373"/>
        <w:spacing w:after="0" w:line="236" w:lineRule="auto"/>
        <w:tabs>
          <w:tab w:leader="none" w:pos="7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8"/>
          <w:szCs w:val="18"/>
          <w:color w:val="auto"/>
        </w:rPr>
        <w:t>August 15, 2025</w:t>
      </w:r>
      <w:r>
        <w:rPr>
          <w:sz w:val="20"/>
          <w:szCs w:val="20"/>
          <w:color w:val="auto"/>
        </w:rPr>
        <w:tab/>
      </w:r>
      <w:r>
        <w:rPr>
          <w:rFonts w:ascii="Times New Roman" w:cs="Times New Roman" w:eastAsia="Times New Roman" w:hAnsi="Times New Roman"/>
          <w:sz w:val="17"/>
          <w:szCs w:val="17"/>
          <w:color w:val="auto"/>
        </w:rPr>
        <w:t>/s/ Bradford Luke Ledbetter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33655</wp:posOffset>
            </wp:positionV>
            <wp:extent cx="3362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3362325" cy="8255"/>
                    </a:xfrm>
                    <a:prstGeom prst="rect">
                      <a:avLst/>
                    </a:prstGeom>
                    <a:noFill/>
                  </pic:spPr>
                </pic:pic>
              </a:graphicData>
            </a:graphic>
          </wp:anchor>
        </w:drawing>
      </w:r>
    </w:p>
    <w:p>
      <w:pPr>
        <w:spacing w:after="0" w:line="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Bradford Luke Ledbetter</w:t>
      </w:r>
    </w:p>
    <w:p>
      <w:pPr>
        <w:spacing w:after="0" w:line="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40"/>
          </w:cols>
          <w:pgMar w:left="320" w:top="881"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J. Haveron, certify that:</w:t>
      </w:r>
    </w:p>
    <w:p>
      <w:pPr>
        <w:spacing w:after="0" w:line="383" w:lineRule="exact"/>
        <w:rPr>
          <w:sz w:val="20"/>
          <w:szCs w:val="20"/>
          <w:color w:val="auto"/>
        </w:rPr>
      </w:pPr>
    </w:p>
    <w:p>
      <w:pPr>
        <w:ind w:left="380" w:hanging="355"/>
        <w:spacing w:after="0"/>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Kestrel Group Ltd;</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jc w:val="both"/>
        <w:ind w:left="380" w:right="20" w:hanging="355"/>
        <w:spacing w:after="0" w:line="230"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380" w:right="20" w:hanging="355"/>
        <w:spacing w:after="0" w:line="248"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jc w:val="both"/>
        <w:ind w:left="380" w:right="20" w:hanging="355"/>
        <w:spacing w:after="0" w:line="224"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5" w:lineRule="exact"/>
        <w:rPr>
          <w:rFonts w:ascii="Times New Roman" w:cs="Times New Roman" w:eastAsia="Times New Roman" w:hAnsi="Times New Roman"/>
          <w:sz w:val="18"/>
          <w:szCs w:val="18"/>
          <w:color w:val="auto"/>
        </w:rPr>
      </w:pPr>
    </w:p>
    <w:p>
      <w:pPr>
        <w:jc w:val="both"/>
        <w:ind w:left="760" w:right="20" w:hanging="373"/>
        <w:spacing w:after="0" w:line="230"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any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both"/>
        <w:ind w:left="760" w:right="20" w:hanging="373"/>
        <w:spacing w:after="0" w:line="230"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760" w:right="20" w:hanging="373"/>
        <w:spacing w:after="0" w:line="236"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both"/>
        <w:ind w:left="760" w:right="20" w:hanging="373"/>
        <w:spacing w:after="0" w:line="230"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380" w:right="20" w:hanging="355"/>
        <w:spacing w:after="0" w:line="236"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ind w:left="760" w:right="20" w:hanging="373"/>
        <w:spacing w:after="0" w:line="248"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760" w:right="20" w:hanging="373"/>
        <w:spacing w:after="0" w:line="236" w:lineRule="auto"/>
        <w:tabs>
          <w:tab w:leader="none" w:pos="7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5120" w:val="left"/>
        </w:tabs>
        <w:rPr>
          <w:sz w:val="20"/>
          <w:szCs w:val="20"/>
          <w:color w:val="auto"/>
        </w:rPr>
      </w:pPr>
      <w:r>
        <w:rPr>
          <w:rFonts w:ascii="Times New Roman" w:cs="Times New Roman" w:eastAsia="Times New Roman" w:hAnsi="Times New Roman"/>
          <w:sz w:val="18"/>
          <w:szCs w:val="18"/>
          <w:color w:val="auto"/>
        </w:rPr>
        <w:t>August 15, 2025</w:t>
      </w:r>
      <w:r>
        <w:rPr>
          <w:sz w:val="20"/>
          <w:szCs w:val="20"/>
          <w:color w:val="auto"/>
        </w:rPr>
        <w:tab/>
      </w:r>
      <w:r>
        <w:rPr>
          <w:rFonts w:ascii="Times New Roman" w:cs="Times New Roman" w:eastAsia="Times New Roman" w:hAnsi="Times New Roman"/>
          <w:sz w:val="17"/>
          <w:szCs w:val="17"/>
          <w:color w:val="auto"/>
        </w:rPr>
        <w:t>/s/ Patrick J. Haveron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24765</wp:posOffset>
            </wp:positionV>
            <wp:extent cx="324294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3242945" cy="17145"/>
                    </a:xfrm>
                    <a:prstGeom prst="rect">
                      <a:avLst/>
                    </a:prstGeom>
                    <a:noFill/>
                  </pic:spPr>
                </pic:pic>
              </a:graphicData>
            </a:graphic>
          </wp:anchor>
        </w:drawing>
      </w:r>
    </w:p>
    <w:p>
      <w:pPr>
        <w:spacing w:after="0" w:line="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Patrick J. Haveron</w:t>
      </w:r>
    </w:p>
    <w:p>
      <w:pPr>
        <w:ind w:left="5140"/>
        <w:spacing w:after="0"/>
        <w:rPr>
          <w:sz w:val="20"/>
          <w:szCs w:val="20"/>
          <w:color w:val="auto"/>
        </w:rPr>
      </w:pPr>
      <w:r>
        <w:rPr>
          <w:rFonts w:ascii="Times New Roman" w:cs="Times New Roman" w:eastAsia="Times New Roman" w:hAnsi="Times New Roman"/>
          <w:sz w:val="18"/>
          <w:szCs w:val="18"/>
          <w:color w:val="auto"/>
        </w:rPr>
        <w:t>President and Chief Financial Officer (Principal Financial Officer)</w:t>
      </w:r>
    </w:p>
    <w:p>
      <w:pPr>
        <w:sectPr>
          <w:pgSz w:w="11900" w:h="16838" w:orient="portrait"/>
          <w:cols w:equalWidth="0" w:num="1">
            <w:col w:w="11240"/>
          </w:cols>
          <w:pgMar w:left="320" w:top="881"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3" w:lineRule="exact"/>
        <w:rPr>
          <w:sz w:val="20"/>
          <w:szCs w:val="20"/>
          <w:color w:val="auto"/>
        </w:rPr>
      </w:pPr>
    </w:p>
    <w:p>
      <w:pPr>
        <w:ind w:firstLine="241"/>
        <w:spacing w:after="0" w:line="23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Kestrel Group Ltd (the “Company”), hereby certifies, to such officer's knowledge, that:</w:t>
      </w:r>
    </w:p>
    <w:p>
      <w:pPr>
        <w:spacing w:after="0" w:line="129" w:lineRule="exact"/>
        <w:rPr>
          <w:sz w:val="20"/>
          <w:szCs w:val="20"/>
          <w:color w:val="auto"/>
        </w:rPr>
      </w:pPr>
    </w:p>
    <w:p>
      <w:pPr>
        <w:ind w:firstLine="241"/>
        <w:spacing w:after="0" w:line="234" w:lineRule="auto"/>
        <w:rPr>
          <w:sz w:val="20"/>
          <w:szCs w:val="20"/>
          <w:color w:val="auto"/>
        </w:rPr>
      </w:pPr>
      <w:r>
        <w:rPr>
          <w:rFonts w:ascii="Times New Roman" w:cs="Times New Roman" w:eastAsia="Times New Roman" w:hAnsi="Times New Roman"/>
          <w:sz w:val="17"/>
          <w:szCs w:val="17"/>
          <w:color w:val="auto"/>
        </w:rPr>
        <w:t>The Company's Quarterly Report on Form 10-Q for the quarter ended June 30, 2025 (the “Report”) fully complies with the requirements of Section 13(a) or 15(d) of the Securities Exchange Act of 1934 and the information contained in the Report fairly presents, in all material respects, the financial condition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results of operations of the Company.</w:t>
      </w:r>
    </w:p>
    <w:p>
      <w:pPr>
        <w:spacing w:after="0" w:line="309" w:lineRule="exact"/>
        <w:rPr>
          <w:sz w:val="20"/>
          <w:szCs w:val="20"/>
          <w:color w:val="auto"/>
        </w:rPr>
      </w:pPr>
    </w:p>
    <w:p>
      <w:pPr>
        <w:ind w:left="260"/>
        <w:spacing w:after="0"/>
        <w:tabs>
          <w:tab w:leader="none" w:pos="4880" w:val="left"/>
          <w:tab w:leader="none" w:pos="5480" w:val="left"/>
        </w:tabs>
        <w:rPr>
          <w:sz w:val="20"/>
          <w:szCs w:val="20"/>
          <w:color w:val="auto"/>
        </w:rPr>
      </w:pPr>
      <w:r>
        <w:rPr>
          <w:rFonts w:ascii="Times New Roman" w:cs="Times New Roman" w:eastAsia="Times New Roman" w:hAnsi="Times New Roman"/>
          <w:sz w:val="18"/>
          <w:szCs w:val="18"/>
          <w:color w:val="auto"/>
        </w:rPr>
        <w:t>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Bradford Luke Ledbetter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33655</wp:posOffset>
            </wp:positionV>
            <wp:extent cx="35921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3592195" cy="8255"/>
                    </a:xfrm>
                    <a:prstGeom prst="rect">
                      <a:avLst/>
                    </a:prstGeom>
                    <a:noFill/>
                  </pic:spPr>
                </pic:pic>
              </a:graphicData>
            </a:graphic>
          </wp:anchor>
        </w:drawing>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Bradford Luke Ledbetter</w:t>
      </w:r>
    </w:p>
    <w:p>
      <w:pPr>
        <w:ind w:left="55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96" w:lineRule="exact"/>
        <w:rPr>
          <w:sz w:val="20"/>
          <w:szCs w:val="20"/>
          <w:color w:val="auto"/>
        </w:rPr>
      </w:pPr>
    </w:p>
    <w:p>
      <w:pPr>
        <w:ind w:firstLine="241"/>
        <w:spacing w:after="0" w:line="279"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w:t>
      </w:r>
    </w:p>
    <w:p>
      <w:pPr>
        <w:sectPr>
          <w:pgSz w:w="11900" w:h="16838" w:orient="portrait"/>
          <w:cols w:equalWidth="0" w:num="1">
            <w:col w:w="11240"/>
          </w:cols>
          <w:pgMar w:left="320" w:top="88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3" w:lineRule="exact"/>
        <w:rPr>
          <w:sz w:val="20"/>
          <w:szCs w:val="20"/>
          <w:color w:val="auto"/>
        </w:rPr>
      </w:pPr>
    </w:p>
    <w:p>
      <w:pPr>
        <w:jc w:val="both"/>
        <w:ind w:firstLine="241"/>
        <w:spacing w:after="0" w:line="23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Kestrel Group Ltd (the “Company”), hereby certifies, to such officer's knowledge, that:</w:t>
      </w:r>
    </w:p>
    <w:p>
      <w:pPr>
        <w:spacing w:after="0" w:line="169" w:lineRule="exact"/>
        <w:rPr>
          <w:sz w:val="20"/>
          <w:szCs w:val="20"/>
          <w:color w:val="auto"/>
        </w:rPr>
      </w:pPr>
    </w:p>
    <w:p>
      <w:pPr>
        <w:jc w:val="both"/>
        <w:ind w:firstLine="241"/>
        <w:spacing w:after="0" w:line="224" w:lineRule="auto"/>
        <w:rPr>
          <w:sz w:val="20"/>
          <w:szCs w:val="20"/>
          <w:color w:val="auto"/>
        </w:rPr>
      </w:pPr>
      <w:r>
        <w:rPr>
          <w:rFonts w:ascii="Times New Roman" w:cs="Times New Roman" w:eastAsia="Times New Roman" w:hAnsi="Times New Roman"/>
          <w:sz w:val="18"/>
          <w:szCs w:val="18"/>
          <w:color w:val="auto"/>
        </w:rPr>
        <w:t>The Company's Quarterly Report on Form 10-Q for the quarter ended June 30, 2025 (the “Report”) fully complies with the requirements of Section 13(a) or 15(d) of the Securities Exchange Act of 1934 and the information contained in the Report fairly presents, in all material respects, the financial condition and results of operations of the Company.</w:t>
      </w:r>
    </w:p>
    <w:p>
      <w:pPr>
        <w:spacing w:after="0" w:line="278" w:lineRule="exact"/>
        <w:rPr>
          <w:sz w:val="20"/>
          <w:szCs w:val="20"/>
          <w:color w:val="auto"/>
        </w:rPr>
      </w:pPr>
    </w:p>
    <w:p>
      <w:pPr>
        <w:ind w:left="260"/>
        <w:spacing w:after="0"/>
        <w:tabs>
          <w:tab w:leader="none" w:pos="4480" w:val="left"/>
          <w:tab w:leader="none" w:pos="5100" w:val="left"/>
        </w:tabs>
        <w:rPr>
          <w:sz w:val="20"/>
          <w:szCs w:val="20"/>
          <w:color w:val="auto"/>
        </w:rPr>
      </w:pPr>
      <w:r>
        <w:rPr>
          <w:rFonts w:ascii="Times New Roman" w:cs="Times New Roman" w:eastAsia="Times New Roman" w:hAnsi="Times New Roman"/>
          <w:sz w:val="18"/>
          <w:szCs w:val="18"/>
          <w:color w:val="auto"/>
        </w:rPr>
        <w:t>August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Haveron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24765</wp:posOffset>
            </wp:positionV>
            <wp:extent cx="320929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3209290" cy="17145"/>
                    </a:xfrm>
                    <a:prstGeom prst="rect">
                      <a:avLst/>
                    </a:prstGeom>
                    <a:noFill/>
                  </pic:spPr>
                </pic:pic>
              </a:graphicData>
            </a:graphic>
          </wp:anchor>
        </w:drawing>
      </w:r>
    </w:p>
    <w:p>
      <w:pPr>
        <w:spacing w:after="0" w:line="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Patrick J. Haveron</w:t>
      </w:r>
    </w:p>
    <w:p>
      <w:pPr>
        <w:ind w:left="5120"/>
        <w:spacing w:after="0"/>
        <w:rPr>
          <w:sz w:val="20"/>
          <w:szCs w:val="20"/>
          <w:color w:val="auto"/>
        </w:rPr>
      </w:pPr>
      <w:r>
        <w:rPr>
          <w:rFonts w:ascii="Times New Roman" w:cs="Times New Roman" w:eastAsia="Times New Roman" w:hAnsi="Times New Roman"/>
          <w:sz w:val="18"/>
          <w:szCs w:val="18"/>
          <w:color w:val="auto"/>
        </w:rPr>
        <w:t>President and Chief Financial Officer (Principal Financial Officer)</w:t>
      </w:r>
    </w:p>
    <w:p>
      <w:pPr>
        <w:spacing w:after="0" w:line="282" w:lineRule="exact"/>
        <w:rPr>
          <w:sz w:val="20"/>
          <w:szCs w:val="20"/>
          <w:color w:val="auto"/>
        </w:rPr>
      </w:pPr>
    </w:p>
    <w:p>
      <w:pPr>
        <w:jc w:val="both"/>
        <w:ind w:firstLine="241"/>
        <w:spacing w:after="0" w:line="24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Report.</w:t>
      </w:r>
    </w:p>
    <w:sectPr>
      <w:pgSz w:w="11900" w:h="16838" w:orient="portrait"/>
      <w:cols w:equalWidth="0" w:num="1">
        <w:col w:w="11240"/>
      </w:cols>
      <w:pgMar w:left="320" w:top="8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0"/>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decimal"/>
      <w:start w:val="2"/>
    </w:lvl>
    <w:lvl w:ilvl="1">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2"/>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4"/>
    </w:lvl>
  </w:abstractNum>
  <w:abstractNum w:abstractNumId="11">
    <w:nsid w:val="22221A70"/>
    <w:multiLevelType w:val="hybridMultilevel"/>
    <w:lvl w:ilvl="0">
      <w:lvlJc w:val="left"/>
      <w:lvlText w:val="%1."/>
      <w:numFmt w:val="decimal"/>
      <w:start w:val="4"/>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lowerLetter"/>
      <w:start w:val="1"/>
    </w:lvl>
    <w:lvl w:ilvl="1">
      <w:lvlJc w:val="left"/>
      <w:lvlText w:val="%2."/>
      <w:numFmt w:val="decimal"/>
      <w:start w:val="4"/>
    </w:lvl>
  </w:abstractNum>
  <w:abstractNum w:abstractNumId="14">
    <w:nsid w:val="614FD4A1"/>
    <w:multiLevelType w:val="hybridMultilevel"/>
    <w:lvl w:ilvl="0">
      <w:lvlJc w:val="left"/>
      <w:lvlText w:val="%1)"/>
      <w:numFmt w:val="lowerLetter"/>
      <w:start w:val="3"/>
    </w:lvl>
    <w:lvl w:ilvl="1">
      <w:lvlJc w:val="left"/>
      <w:lvlText w:val="%2"/>
      <w:numFmt w:val="decimal"/>
      <w:start w:val="1"/>
    </w:lvl>
  </w:abstractNum>
  <w:abstractNum w:abstractNumId="15">
    <w:nsid w:val="419AC241"/>
    <w:multiLevelType w:val="hybridMultilevel"/>
    <w:lvl w:ilvl="0">
      <w:lvlJc w:val="left"/>
      <w:lvlText w:val="%1."/>
      <w:numFmt w:val="decimal"/>
      <w:start w:val="5"/>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5"/>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6"/>
    </w:lvl>
  </w:abstractNum>
  <w:abstractNum w:abstractNumId="21">
    <w:nsid w:val="7724C67E"/>
    <w:multiLevelType w:val="hybridMultilevel"/>
    <w:lvl w:ilvl="0">
      <w:lvlJc w:val="left"/>
      <w:lvlText w:val="%1)"/>
      <w:numFmt w:val="lowerLetter"/>
      <w:start w:val="2"/>
    </w:lvl>
    <w:lvl w:ilvl="1">
      <w:lvlJc w:val="left"/>
      <w:lvlText w:val="•"/>
      <w:numFmt w:val="bullet"/>
      <w:start w:val="1"/>
    </w:lvl>
  </w:abstractNum>
  <w:abstractNum w:abstractNumId="22">
    <w:nsid w:val="5C482A97"/>
    <w:multiLevelType w:val="hybridMultilevel"/>
    <w:lvl w:ilvl="0">
      <w:lvlJc w:val="left"/>
      <w:lvlText w:val="%1)"/>
      <w:numFmt w:val="lowerLetter"/>
      <w:start w:val="4"/>
    </w:lvl>
  </w:abstractNum>
  <w:abstractNum w:abstractNumId="23">
    <w:nsid w:val="2463B9EA"/>
    <w:multiLevelType w:val="hybridMultilevel"/>
    <w:lvl w:ilvl="0">
      <w:lvlJc w:val="left"/>
      <w:lvlText w:val="%1."/>
      <w:numFmt w:val="decimal"/>
      <w:start w:val="7"/>
    </w:lvl>
  </w:abstractNum>
  <w:abstractNum w:abstractNumId="24">
    <w:nsid w:val="5E884ADC"/>
    <w:multiLevelType w:val="hybridMultilevel"/>
    <w:lvl w:ilvl="0">
      <w:lvlJc w:val="left"/>
      <w:lvlText w:val="%1."/>
      <w:numFmt w:val="upperLetter"/>
      <w:start w:val="35"/>
    </w:lvl>
  </w:abstractNum>
  <w:abstractNum w:abstractNumId="25">
    <w:nsid w:val="51EAD36B"/>
    <w:multiLevelType w:val="hybridMultilevel"/>
    <w:lvl w:ilvl="0">
      <w:lvlJc w:val="left"/>
      <w:lvlText w:val="%1."/>
      <w:numFmt w:val="decimal"/>
      <w:start w:val="10"/>
    </w:lvl>
  </w:abstractNum>
  <w:abstractNum w:abstractNumId="26">
    <w:nsid w:val="2D517796"/>
    <w:multiLevelType w:val="hybridMultilevel"/>
    <w:lvl w:ilvl="0">
      <w:lvlJc w:val="left"/>
      <w:lvlText w:val="(%1)"/>
      <w:numFmt w:val="lowerLetter"/>
      <w:start w:val="2"/>
    </w:lvl>
    <w:lvl w:ilvl="1">
      <w:lvlJc w:val="left"/>
      <w:lvlText w:val="•"/>
      <w:numFmt w:val="bullet"/>
      <w:start w:val="1"/>
    </w:lvl>
  </w:abstractNum>
  <w:abstractNum w:abstractNumId="27">
    <w:nsid w:val="580BD78F"/>
    <w:multiLevelType w:val="hybridMultilevel"/>
    <w:lvl w:ilvl="0">
      <w:lvlJc w:val="left"/>
      <w:lvlText w:val="%1."/>
      <w:numFmt w:val="decimal"/>
      <w:start w:val="10"/>
    </w:lvl>
  </w:abstractNum>
  <w:abstractNum w:abstractNumId="28">
    <w:nsid w:val="153EA438"/>
    <w:multiLevelType w:val="hybridMultilevel"/>
    <w:lvl w:ilvl="0">
      <w:lvlJc w:val="left"/>
      <w:lvlText w:val="%1."/>
      <w:numFmt w:val="decimal"/>
      <w:start w:val="11"/>
    </w:lvl>
  </w:abstractNum>
  <w:abstractNum w:abstractNumId="29">
    <w:nsid w:val="3855585C"/>
    <w:multiLevelType w:val="hybridMultilevel"/>
    <w:lvl w:ilvl="0">
      <w:lvlJc w:val="left"/>
      <w:lvlText w:val="%1."/>
      <w:numFmt w:val="decimal"/>
      <w:start w:val="1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5"/>
    </w:lvl>
  </w:abstractNum>
  <w:abstractNum w:abstractNumId="32">
    <w:nsid w:val="2A487CB0"/>
    <w:multiLevelType w:val="hybridMultilevel"/>
    <w:lvl w:ilvl="0">
      <w:lvlJc w:val="left"/>
      <w:lvlText w:val="(%1)"/>
      <w:numFmt w:val="lowerLetter"/>
      <w:start w:val="25"/>
    </w:lvl>
  </w:abstractNum>
  <w:abstractNum w:abstractNumId="33">
    <w:nsid w:val="1D4ED43B"/>
    <w:multiLevelType w:val="hybridMultilevel"/>
    <w:lvl w:ilvl="0">
      <w:lvlJc w:val="left"/>
      <w:lvlText w:val="%1."/>
      <w:numFmt w:val="decimal"/>
      <w:start w:val="8"/>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3"/>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
      <w:numFmt w:val="bullet"/>
      <w:start w:val="1"/>
    </w:lvl>
    <w:lvl w:ilvl="1">
      <w:lvlJc w:val="left"/>
      <w:lvlText w:val="•"/>
      <w:numFmt w:val="bullet"/>
      <w:start w:val="1"/>
    </w:lvl>
  </w:abstractNum>
  <w:abstractNum w:abstractNumId="38">
    <w:nsid w:val="4B588F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9">
    <w:nsid w:val="542289EC"/>
    <w:multiLevelType w:val="hybridMultilevel"/>
    <w:lvl w:ilvl="0">
      <w:lvlJc w:val="left"/>
      <w:lvlText w:val="•"/>
      <w:numFmt w:val="bullet"/>
      <w:start w:val="1"/>
    </w:lvl>
    <w:lvl w:ilvl="1">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4"/>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8"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68"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14" Type="http://schemas.openxmlformats.org/officeDocument/2006/relationships/hyperlink" Target="https://www.sec.gov/Archives/edgar/data/1412100/000110465924132309/tm2432191d1_ex2-1.htm" TargetMode="External"/><Relationship Id="rId115" Type="http://schemas.openxmlformats.org/officeDocument/2006/relationships/hyperlink" Target="https://www.sec.gov/Archives/edgar/data/1412100/000110465925014834/tm2432191d8_ex2-1.htm" TargetMode="External"/><Relationship Id="rId116" Type="http://schemas.openxmlformats.org/officeDocument/2006/relationships/hyperlink" Target="https://www.sec.gov/Archives/edgar/data/1412100/000110465925027212/tm2432191d13_ex2-1.htm" TargetMode="External"/><Relationship Id="rId117" Type="http://schemas.openxmlformats.org/officeDocument/2006/relationships/hyperlink" Target="https://www.sec.gov/Archives/edgar/data/2055116/000110465925027242/tm2432191d12_ex3-2.htm" TargetMode="External"/><Relationship Id="rId118" Type="http://schemas.openxmlformats.org/officeDocument/2006/relationships/hyperlink" Target="https://www.sec.gov/Archives/edgar/data/2055116/000110465925021993/tm2432191d7_ex3-3.htm" TargetMode="External"/><Relationship Id="rId119" Type="http://schemas.openxmlformats.org/officeDocument/2006/relationships/hyperlink" Target="https://www.sec.gov/Archives/edgar/data/2055116/000110465925054992/tm2516333d2_ex4-1.htm" TargetMode="External"/><Relationship Id="rId120" Type="http://schemas.openxmlformats.org/officeDocument/2006/relationships/hyperlink" Target="https://www.sec.gov/Archives/edgar/data/2055116/000110465925054992/tm2516333d2_ex4-2.htm" TargetMode="External"/><Relationship Id="rId121" Type="http://schemas.openxmlformats.org/officeDocument/2006/relationships/hyperlink" Target="https://www.sec.gov/Archives/edgar/data/2055116/000110465925054992/tm2516333d2_ex4-3.htm" TargetMode="External"/><Relationship Id="rId122" Type="http://schemas.openxmlformats.org/officeDocument/2006/relationships/hyperlink" Target="https://www.sec.gov/Archives/edgar/data/2055116/000110465925054992/tm2516333d2_ex4-4.htm" TargetMode="External"/><Relationship Id="rId123" Type="http://schemas.openxmlformats.org/officeDocument/2006/relationships/hyperlink" Target="https://www.sec.gov/Archives/edgar/data/2055116/000110465925021993/tm2432191d7_ex10-2.htm" TargetMode="External"/><Relationship Id="rId124" Type="http://schemas.openxmlformats.org/officeDocument/2006/relationships/hyperlink" Target="https://www.sec.gov/Archives/edgar/data/2055116/000110465925078775/tm2523530d1_ex10-1.htm" TargetMode="External"/><Relationship Id="rId125" Type="http://schemas.openxmlformats.org/officeDocument/2006/relationships/hyperlink" Target="https://www.sec.gov/Archives/edgar/data/2055116/000110465925078775/tm2523530d1_ex10-2.htm" TargetMode="External"/><Relationship Id="rId126" Type="http://schemas.openxmlformats.org/officeDocument/2006/relationships/hyperlink" Target="https://www.sec.gov/Archives/edgar/data/1412100/000144530512000650/exhibit-105.htm" TargetMode="External"/><Relationship Id="rId127" Type="http://schemas.openxmlformats.org/officeDocument/2006/relationships/hyperlink" Target="https://www.sec.gov/Archives/edgar/data/1412100/000141210020000003/forms-82019incentiveplanpr.htm" TargetMode="External"/><Relationship Id="rId129" Type="http://schemas.openxmlformats.org/officeDocument/2006/relationships/hyperlink" Target="https://www.sec.gov/Archives/edgar/data/2055116/000110465925027242/tm2432191d12_ex10-49.htm" TargetMode="External"/><Relationship Id="rId130" Type="http://schemas.openxmlformats.org/officeDocument/2006/relationships/hyperlink" Target="https://www.sec.gov/Archives/edgar/data/1412100/000114420407049896/v086410_ex10-6.htm" TargetMode="External"/><Relationship Id="rId131" Type="http://schemas.openxmlformats.org/officeDocument/2006/relationships/hyperlink" Target="https://www.sec.gov/Archives/edgar/data/1412100/000114420407049896/v086410_ex10-7.htm" TargetMode="External"/><Relationship Id="rId132" Type="http://schemas.openxmlformats.org/officeDocument/2006/relationships/hyperlink" Target="https://www.sec.gov/Archives/edgar/data/1412100/000141210019000005/a20198kamtrustquotasharete.htm#s63144DF09505564B894F668EBB89CDD8" TargetMode="External"/><Relationship Id="rId133" Type="http://schemas.openxmlformats.org/officeDocument/2006/relationships/hyperlink" Target="https://www.sec.gov/Archives/edgar/data/1412100/000114420409017924/v144268_ex10-15.htm" TargetMode="External"/><Relationship Id="rId134" Type="http://schemas.openxmlformats.org/officeDocument/2006/relationships/hyperlink" Target="https://www.sec.gov/Archives/edgar/data/0001412100/000141210021000017/mrl-aiimassetmanagementa.htm" TargetMode="External"/><Relationship Id="rId135" Type="http://schemas.openxmlformats.org/officeDocument/2006/relationships/hyperlink" Target="https://www.sec.gov/Archives/edgar/data/0001412100/000141210021000017/maidennovationagreemente.htm" TargetMode="External"/><Relationship Id="rId136" Type="http://schemas.openxmlformats.org/officeDocument/2006/relationships/hyperlink" Target="https://www.sec.gov/Archives/edgar/data/0001412100/000141210021000017/maidenlife-aiimassetmana.htm" TargetMode="External"/><Relationship Id="rId137" Type="http://schemas.openxmlformats.org/officeDocument/2006/relationships/hyperlink" Target="https://www.sec.gov/Archives/edgar/data/0001412100/000141210021000017/afsi-mlfxnovationagreeme.htm" TargetMode="External"/><Relationship Id="rId138" Type="http://schemas.openxmlformats.org/officeDocument/2006/relationships/hyperlink" Target="https://www.sec.gov/Archives/edgar/data/00001412100/000141210021000017/afsi-mlfxnovationagreeme.htm" TargetMode="External"/><Relationship Id="rId139" Type="http://schemas.openxmlformats.org/officeDocument/2006/relationships/hyperlink" Target="https://www.sec.gov/Archives/edgar/data/1412100/000114420411044413/v228882_ex10-3.htm" TargetMode="External"/><Relationship Id="rId140" Type="http://schemas.openxmlformats.org/officeDocument/2006/relationships/hyperlink" Target="https://www.sec.gov/Archives/edgar/data/1412100/000141210013000009/exhibit-1021.htm" TargetMode="External"/><Relationship Id="rId143" Type="http://schemas.openxmlformats.org/officeDocument/2006/relationships/hyperlink" Target="https://www.sec.gov/Archives/edgar/data/1412100/000141210016000173/q22016exhibit-101amtrustco.htm" TargetMode="External"/><Relationship Id="rId144" Type="http://schemas.openxmlformats.org/officeDocument/2006/relationships/hyperlink" Target="https://www.sec.gov/Archives/edgar/data/1412100/000141210019000016/q42018exhibit1027-amtr.htm" TargetMode="External"/><Relationship Id="rId145" Type="http://schemas.openxmlformats.org/officeDocument/2006/relationships/hyperlink" Target="https://www.sec.gov/Archives/edgar/data/1412100/000141210018000058/q32018exhibit101-aelqs.htm" TargetMode="External"/><Relationship Id="rId146" Type="http://schemas.openxmlformats.org/officeDocument/2006/relationships/hyperlink" Target="https://www.sec.gov/Archives/edgar/data/1412100/000114420411044413/v228882_ex10-4.htm" TargetMode="External"/><Relationship Id="rId147" Type="http://schemas.openxmlformats.org/officeDocument/2006/relationships/hyperlink" Target="https://www.sec.gov/Archives/edgar/data/1412100/000114420411044413/v228882_ex10-5.htm" TargetMode="External"/><Relationship Id="rId148" Type="http://schemas.openxmlformats.org/officeDocument/2006/relationships/hyperlink" Target="https://www.sec.gov/Archives/edgar/data/1412100/000141210012000014/q22012-exhibit101.htm" TargetMode="External"/><Relationship Id="rId149" Type="http://schemas.openxmlformats.org/officeDocument/2006/relationships/hyperlink" Target="https://www.sec.gov/Archives/edgar/data/1412100/000141210016000188/exhibit102maiden-amtrustme.htm" TargetMode="External"/><Relationship Id="rId150" Type="http://schemas.openxmlformats.org/officeDocument/2006/relationships/hyperlink" Target="https://www.sec.gov/Archives/edgar/data/2055116/000110465925054992/tm2516333d2_ex4-5.htm" TargetMode="External"/><Relationship Id="rId151" Type="http://schemas.openxmlformats.org/officeDocument/2006/relationships/hyperlink" Target="https://www.sec.gov/Archives/edgar/data/0001412100/000141210019000003/q42018maidenussaleannounce.htm" TargetMode="External"/><Relationship Id="rId152" Type="http://schemas.openxmlformats.org/officeDocument/2006/relationships/hyperlink" Target="https://www.sec.gov/Archives/edgar/data/1412100/000141210019000005/a20198kamtrustquotasharete.htm#s9F75979A20C45F34979E18F3512E8CF2" TargetMode="External"/><Relationship Id="rId153" Type="http://schemas.openxmlformats.org/officeDocument/2006/relationships/hyperlink" Target="https://www.sec.gov/Archives/edgar/data/1412100/000141210019000005/a20198kamtrustquotasharete.htm#s36b8ac95f4064b9ebd3dc92e9a6e87e8" TargetMode="External"/><Relationship Id="rId156" Type="http://schemas.openxmlformats.org/officeDocument/2006/relationships/hyperlink" Target="https://www.sec.gov/Archives/edgar/data/1412100/000141210019000008/q42018pressrelease-latefil.htm#sd7741625700048e4881e35a00226074e" TargetMode="External"/><Relationship Id="rId157" Type="http://schemas.openxmlformats.org/officeDocument/2006/relationships/hyperlink" Target="https://www.sec.gov/Archives/edgar/data/1412100/000141210019000061/q22019exhibit101adcfully.htm" TargetMode="External"/><Relationship Id="rId158" Type="http://schemas.openxmlformats.org/officeDocument/2006/relationships/hyperlink" Target="https://www.sec.gov/Archives/edgar/data/1412100/000141210019000061/q22019exhibit102amtrustm.htm" TargetMode="External"/><Relationship Id="rId159" Type="http://schemas.openxmlformats.org/officeDocument/2006/relationships/hyperlink" Target="https://www.sec.gov/Archives/edgar/data/1412100/000141210019000061/q22019exhibit104mcafully.htm" TargetMode="External"/><Relationship Id="rId160" Type="http://schemas.openxmlformats.org/officeDocument/2006/relationships/hyperlink" Target="https://www.sec.gov/Archives/edgar/data/1412100/000141210019000061/q22019exhibit103amtrustm.htm" TargetMode="External"/><Relationship Id="rId161" Type="http://schemas.openxmlformats.org/officeDocument/2006/relationships/hyperlink" Target="https://www.sec.gov/Archives/edgar/data/1412100/000141210020000008/q42019exhibit1043post-.htm" TargetMode="External"/><Relationship Id="rId162" Type="http://schemas.openxmlformats.org/officeDocument/2006/relationships/hyperlink" Target="https://www.sec.gov/Archives/edgar/data/1412100/000141210020000008/q42019exhibit1044post-.htm" TargetMode="External"/><Relationship Id="rId163" Type="http://schemas.openxmlformats.org/officeDocument/2006/relationships/hyperlink" Target="https://www.sec.gov/Archives/edgar/data/0001412100/000141210021000017/postterminationendorseme.htm" TargetMode="External"/><Relationship Id="rId164" Type="http://schemas.openxmlformats.org/officeDocument/2006/relationships/hyperlink" Target="https://www.sec.gov/Archives/edgar/data/0001412100/000141210021000017/nhwcommutationagreementf.htm" TargetMode="External"/><Relationship Id="rId165" Type="http://schemas.openxmlformats.org/officeDocument/2006/relationships/hyperlink" Target="https://www.sec.gov/Archives/edgar/data/1412100/000141210024000047/a1maidenrenewalrightsass.htm" TargetMode="External"/><Relationship Id="rId166" Type="http://schemas.openxmlformats.org/officeDocument/2006/relationships/hyperlink" Target="https://www.sec.gov/Archives/edgar/data/1412100/000141210024000067/mhld-20240630.htm#id6f9b1cbd8384a81a6aa587ce2ea6a20_1031" TargetMode="External"/><Relationship Id="rId167" Type="http://schemas.openxmlformats.org/officeDocument/2006/relationships/hyperlink" Target="https://www.sec.gov/Archives/edgar/data/1412100/000141210025000011/a_02newamendedrestatedlo.htm" TargetMode="External"/><Relationship Id="rId169" Type="http://schemas.openxmlformats.org/officeDocument/2006/relationships/hyperlink" Target="https://www.sec.gov/Archives/edgar/data/1412100/000141210025000011/a_01loanagmtmrlamtrust-e.htm" TargetMode="External"/><Relationship Id="rId170" Type="http://schemas.openxmlformats.org/officeDocument/2006/relationships/hyperlink" Target="https://www.sec.gov/Archives/edgar/data/1412100/000141210025000011/a_03posttermendno3master.htm" TargetMode="External"/><Relationship Id="rId171" Type="http://schemas.openxmlformats.org/officeDocument/2006/relationships/hyperlink" Target="https://www.sec.gov/Archives/edgar/data/1412100/000141210025000011/a04posttermendno2hosplia.htm" TargetMode="External"/><Relationship Id="rId172" Type="http://schemas.openxmlformats.org/officeDocument/2006/relationships/hyperlink" Target="https://www.sec.gov/Archives/edgar/data/2055116/000110465925021993/tm2432191-6_s4.htm#t5RL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2025-08-15T06:06:40Z</dcterms:created>
  <dcterms:modified xsi:type="dcterms:W3CDTF">2025-08-15T06:06:40Z</dcterms:modified>
</cp:coreProperties>
</file>