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 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FORM 10-Q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(Mark One)</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120"/>
        <w:jc w:val="center"/>
        <w:rPr/>
      </w:pPr>
      <w:r>
        <w:rPr>
          <w:rFonts w:ascii="Times New Roman;serif" w:hAnsi="Times New Roman;serif"/>
          <w:b/>
          <w:color w:val="000000"/>
          <w:sz w:val="18"/>
        </w:rPr>
        <w:t xml:space="preserve">For the quarterly period ended </w:t>
      </w:r>
      <w:r>
        <w:rPr>
          <w:rFonts w:ascii="Times New Roman;serif" w:hAnsi="Times New Roman;serif"/>
          <w:b/>
          <w:color w:val="000000"/>
          <w:sz w:val="20"/>
        </w:rPr>
        <w:t>March 31, 2026</w:t>
      </w:r>
      <w:r>
        <w:rPr>
          <w:color w:val="000000"/>
        </w:rPr>
        <w:t xml:space="preserve"> </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For the transition period from _________ to _________</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 xml:space="preserve">Commission File No. 001-42668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Kestrel Group Ltd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4379" w:type="dxa"/>
        <w:jc w:val="center"/>
        <w:tblInd w:w="0" w:type="dxa"/>
        <w:tblLayout w:type="fixed"/>
        <w:tblCellMar>
          <w:top w:w="28" w:type="dxa"/>
          <w:left w:w="28" w:type="dxa"/>
          <w:bottom w:w="28" w:type="dxa"/>
          <w:right w:w="28" w:type="dxa"/>
        </w:tblCellMar>
      </w:tblPr>
      <w:tblGrid>
        <w:gridCol w:w="1056"/>
        <w:gridCol w:w="930"/>
        <w:gridCol w:w="938"/>
        <w:gridCol w:w="424"/>
        <w:gridCol w:w="424"/>
        <w:gridCol w:w="607"/>
      </w:tblGrid>
      <w:tr>
        <w:trPr/>
        <w:tc>
          <w:tcPr>
            <w:tcW w:w="105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Bermuda</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98-1833921</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br/>
              <w:t>incorporation or organization)</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11 Bermudiana Road, Suite 1141</w:t>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Hamilton</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Bermuda</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HM 08</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before="100" w:after="12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(441) 298-4900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pPr>
      <w:r>
        <w:rPr>
          <w:rFonts w:ascii="Times New Roman;serif" w:hAnsi="Times New Roman;serif"/>
          <w:b w:val="false"/>
          <w:color w:val="000000"/>
          <w:sz w:val="18"/>
        </w:rPr>
        <w:t>Securities registered pursuant to Section 12(b) of the Act:</w:t>
      </w:r>
      <w:r>
        <w:rPr>
          <w:color w:val="000000"/>
        </w:rPr>
        <w:t xml:space="preserve"> </w:t>
      </w:r>
    </w:p>
    <w:tbl>
      <w:tblPr>
        <w:tblW w:w="8752" w:type="dxa"/>
        <w:jc w:val="center"/>
        <w:tblInd w:w="0" w:type="dxa"/>
        <w:tblLayout w:type="fixed"/>
        <w:tblCellMar>
          <w:top w:w="28" w:type="dxa"/>
          <w:left w:w="28" w:type="dxa"/>
          <w:bottom w:w="28" w:type="dxa"/>
          <w:right w:w="28" w:type="dxa"/>
        </w:tblCellMar>
      </w:tblPr>
      <w:tblGrid>
        <w:gridCol w:w="1147"/>
        <w:gridCol w:w="1013"/>
        <w:gridCol w:w="1019"/>
        <w:gridCol w:w="109"/>
        <w:gridCol w:w="109"/>
        <w:gridCol w:w="109"/>
        <w:gridCol w:w="484"/>
        <w:gridCol w:w="484"/>
        <w:gridCol w:w="486"/>
        <w:gridCol w:w="109"/>
        <w:gridCol w:w="109"/>
        <w:gridCol w:w="109"/>
        <w:gridCol w:w="1014"/>
        <w:gridCol w:w="1014"/>
        <w:gridCol w:w="1437"/>
      </w:tblGrid>
      <w:tr>
        <w:trPr/>
        <w:tc>
          <w:tcPr>
            <w:tcW w:w="114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Shares,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KG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NASDAQ Capital Market</w:t>
            </w:r>
          </w:p>
        </w:tc>
      </w:tr>
    </w:tbl>
    <w:p>
      <w:pPr>
        <w:pStyle w:val="TextBody"/>
        <w:bidi w:val="0"/>
        <w:spacing w:lineRule="auto" w:line="288" w:before="0" w:after="120"/>
        <w:jc w:val="both"/>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0" w:after="120"/>
        <w:jc w:val="both"/>
        <w:rPr/>
      </w:pPr>
      <w:r>
        <w:rPr>
          <w:rFonts w:ascii="Times New Roman;serif" w:hAnsi="Times New Roman;serif"/>
          <w:b w:val="false"/>
          <w:color w:val="000000"/>
          <w:sz w:val="18"/>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color w:val="000000"/>
        </w:rPr>
        <w:t xml:space="preserve">☒ </w:t>
      </w:r>
      <w:r>
        <w:rPr>
          <w:rFonts w:ascii="Times New Roman;serif" w:hAnsi="Times New Roman;serif"/>
          <w:b w:val="false"/>
          <w:color w:val="000000"/>
          <w:sz w:val="18"/>
        </w:rPr>
        <w:t>No </w:t>
      </w:r>
      <w:r>
        <w:rPr>
          <w:color w:val="000000"/>
        </w:rPr>
        <w:t>☐</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731"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12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shell company (as defined in Rule 12b-2 of the Securities Exchange Act). </w:t>
      </w:r>
    </w:p>
    <w:p>
      <w:pPr>
        <w:pStyle w:val="TextBody"/>
        <w:bidi w:val="0"/>
        <w:spacing w:lineRule="auto" w:line="288" w:before="0" w:after="120"/>
        <w:jc w:val="both"/>
        <w:rPr/>
      </w:pPr>
      <w:r>
        <w:rPr>
          <w:rFonts w:ascii="Times New Roman;serif" w:hAnsi="Times New Roman;serif"/>
          <w:b w:val="false"/>
          <w:color w:val="000000"/>
          <w:sz w:val="18"/>
        </w:rPr>
        <w:t xml:space="preserve">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As of May 1, 2026, 7,824,030 common shares were outstanding. 10,108,600 common shares, par value $0.01 per share, were outstanding when the ownership by our affiliate Maiden Reinsurance Ltd. of 2,237,534 common shares were included. These affiliated shares are treated as treasury shares and are not included in the computation of consolidated book value and earnings per common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428"/>
        <w:gridCol w:w="376"/>
        <w:gridCol w:w="376"/>
        <w:gridCol w:w="2902"/>
        <w:gridCol w:w="2794"/>
        <w:gridCol w:w="2755"/>
        <w:gridCol w:w="167"/>
        <w:gridCol w:w="167"/>
        <w:gridCol w:w="240"/>
      </w:tblGrid>
      <w:tr>
        <w:trPr/>
        <w:tc>
          <w:tcPr>
            <w:tcW w:w="42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902" w:type="dxa"/>
            <w:tcBorders/>
            <w:vAlign w:val="center"/>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180" w:type="dxa"/>
            <w:gridSpan w:val="3"/>
            <w:tcBorders/>
            <w:vAlign w:val="center"/>
          </w:tcPr>
          <w:p>
            <w:pPr>
              <w:pStyle w:val="TableContents"/>
              <w:bidi w:val="0"/>
              <w:spacing w:before="0" w:after="283"/>
              <w:jc w:val="left"/>
              <w:rPr>
                <w:sz w:val="4"/>
                <w:szCs w:val="4"/>
              </w:rPr>
            </w:pPr>
            <w:r>
              <w:rPr>
                <w:sz w:val="4"/>
                <w:szCs w:val="4"/>
              </w:rPr>
            </w:r>
          </w:p>
        </w:tc>
        <w:tc>
          <w:tcPr>
            <w:tcW w:w="8451"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r>
      <w:tr>
        <w:trPr/>
        <w:tc>
          <w:tcPr>
            <w:tcW w:w="1180" w:type="dxa"/>
            <w:gridSpan w:val="3"/>
            <w:tcBorders/>
            <w:vAlign w:val="center"/>
          </w:tcPr>
          <w:p>
            <w:pPr>
              <w:pStyle w:val="TableContents"/>
              <w:bidi w:val="0"/>
              <w:spacing w:before="0" w:after="283"/>
              <w:jc w:val="left"/>
              <w:rPr>
                <w:sz w:val="4"/>
                <w:szCs w:val="4"/>
              </w:rPr>
            </w:pPr>
            <w:r>
              <w:rPr>
                <w:sz w:val="4"/>
                <w:szCs w:val="4"/>
              </w:rPr>
            </w:r>
          </w:p>
        </w:tc>
        <w:tc>
          <w:tcPr>
            <w:tcW w:w="8451"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r>
      <w:tr>
        <w:trPr/>
        <w:tc>
          <w:tcPr>
            <w:tcW w:w="1180" w:type="dxa"/>
            <w:gridSpan w:val="3"/>
            <w:tcBorders/>
            <w:vAlign w:val="center"/>
          </w:tcPr>
          <w:p>
            <w:pPr>
              <w:pStyle w:val="TableContents"/>
              <w:bidi w:val="0"/>
              <w:spacing w:before="0" w:after="283"/>
              <w:jc w:val="left"/>
              <w:rPr>
                <w:sz w:val="4"/>
                <w:szCs w:val="4"/>
              </w:rPr>
            </w:pPr>
            <w:r>
              <w:rPr>
                <w:sz w:val="4"/>
                <w:szCs w:val="4"/>
              </w:rPr>
            </w:r>
          </w:p>
        </w:tc>
        <w:tc>
          <w:tcPr>
            <w:tcW w:w="8451"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r>
      <w:tr>
        <w:trPr/>
        <w:tc>
          <w:tcPr>
            <w:tcW w:w="1180" w:type="dxa"/>
            <w:gridSpan w:val="3"/>
            <w:tcBorders/>
            <w:vAlign w:val="center"/>
          </w:tcPr>
          <w:p>
            <w:pPr>
              <w:pStyle w:val="TableContents"/>
              <w:bidi w:val="0"/>
              <w:spacing w:before="0" w:after="283"/>
              <w:jc w:val="left"/>
              <w:rPr>
                <w:sz w:val="4"/>
                <w:szCs w:val="4"/>
              </w:rPr>
            </w:pPr>
            <w:r>
              <w:rPr>
                <w:sz w:val="4"/>
                <w:szCs w:val="4"/>
              </w:rPr>
            </w:r>
          </w:p>
        </w:tc>
        <w:tc>
          <w:tcPr>
            <w:tcW w:w="8451"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r>
      <w:tr>
        <w:trPr/>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631" w:type="dxa"/>
            <w:gridSpan w:val="6"/>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 - Financial Information</w:t>
            </w:r>
          </w:p>
        </w:tc>
        <w:tc>
          <w:tcPr>
            <w:tcW w:w="574"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0d1152d63dc4953aa1a3819859029e9_10">
              <w:r>
                <w:rPr>
                  <w:rStyle w:val="InternetLink"/>
                  <w:rFonts w:ascii="Times New Roman;serif" w:hAnsi="Times New Roman;serif"/>
                  <w:b w:val="false"/>
                  <w:color w:val="000000"/>
                  <w:sz w:val="20"/>
                  <w:u w:val="single"/>
                </w:rPr>
                <w:t>Item 1.</w:t>
              </w:r>
            </w:hyperlink>
          </w:p>
        </w:tc>
        <w:tc>
          <w:tcPr>
            <w:tcW w:w="8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0d1152d63dc4953aa1a3819859029e9_10">
              <w:r>
                <w:rPr>
                  <w:rStyle w:val="InternetLink"/>
                  <w:rFonts w:ascii="Times New Roman;serif" w:hAnsi="Times New Roman;serif"/>
                  <w:b w:val="false"/>
                  <w:color w:val="0000FF"/>
                  <w:sz w:val="20"/>
                  <w:u w:val="single"/>
                </w:rPr>
                <w:t>Financial Statements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50d1152d63dc4953aa1a3819859029e9_13">
              <w:r>
                <w:rPr>
                  <w:rStyle w:val="InternetLink"/>
                  <w:rFonts w:ascii="Times New Roman;serif" w:hAnsi="Times New Roman;serif"/>
                  <w:b w:val="false"/>
                  <w:color w:val="0000FF"/>
                  <w:sz w:val="20"/>
                  <w:u w:val="single"/>
                </w:rPr>
                <w:t>Condensed Consolidated Balance Sheets as of March 31, 2026 (unaudited) and December 31, 2025 (audited)</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0d1152d63dc4953aa1a3819859029e9_13">
              <w:r>
                <w:rPr>
                  <w:rStyle w:val="InternetLink"/>
                  <w:rFonts w:ascii="Times New Roman;serif" w:hAnsi="Times New Roman;serif"/>
                  <w:b w:val="false"/>
                  <w:color w:val="0000FF"/>
                  <w:sz w:val="20"/>
                  <w:u w:val="single"/>
                </w:rPr>
                <w:t>3</w:t>
              </w:r>
            </w:hyperlink>
          </w:p>
        </w:tc>
      </w:tr>
      <w:tr>
        <w:trPr/>
        <w:tc>
          <w:tcPr>
            <w:tcW w:w="118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50d1152d63dc4953aa1a3819859029e9_16">
              <w:r>
                <w:rPr>
                  <w:rStyle w:val="InternetLink"/>
                  <w:rFonts w:ascii="Times New Roman;serif" w:hAnsi="Times New Roman;serif"/>
                  <w:b w:val="false"/>
                  <w:color w:val="0000FF"/>
                  <w:sz w:val="20"/>
                  <w:u w:val="single"/>
                </w:rPr>
                <w:t>Condensed Consolidated Statements of Operations for the Three Months Ended March 31, 2026 and 2025 (unaudited)</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0d1152d63dc4953aa1a3819859029e9_16">
              <w:r>
                <w:rPr>
                  <w:rStyle w:val="InternetLink"/>
                  <w:rFonts w:ascii="Times New Roman;serif" w:hAnsi="Times New Roman;serif"/>
                  <w:b w:val="false"/>
                  <w:color w:val="0000FF"/>
                  <w:sz w:val="20"/>
                  <w:u w:val="single"/>
                </w:rPr>
                <w:t>4</w:t>
              </w:r>
            </w:hyperlink>
          </w:p>
        </w:tc>
      </w:tr>
      <w:tr>
        <w:trPr/>
        <w:tc>
          <w:tcPr>
            <w:tcW w:w="118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50d1152d63dc4953aa1a3819859029e9_19">
              <w:r>
                <w:rPr>
                  <w:rStyle w:val="InternetLink"/>
                  <w:rFonts w:ascii="Times New Roman;serif" w:hAnsi="Times New Roman;serif"/>
                  <w:b w:val="false"/>
                  <w:color w:val="0000FF"/>
                  <w:sz w:val="20"/>
                  <w:u w:val="single"/>
                </w:rPr>
                <w:t>Condensed Consolidated Statements of Comprehensive Loss for the Three Months Ended March 31, 2026 and 2025 (unaudited)</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0d1152d63dc4953aa1a3819859029e9_19">
              <w:r>
                <w:rPr>
                  <w:rStyle w:val="InternetLink"/>
                  <w:rFonts w:ascii="Times New Roman;serif" w:hAnsi="Times New Roman;serif"/>
                  <w:b w:val="false"/>
                  <w:color w:val="0000FF"/>
                  <w:sz w:val="20"/>
                  <w:u w:val="single"/>
                </w:rPr>
                <w:t>5</w:t>
              </w:r>
            </w:hyperlink>
          </w:p>
        </w:tc>
      </w:tr>
      <w:tr>
        <w:trPr/>
        <w:tc>
          <w:tcPr>
            <w:tcW w:w="118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50d1152d63dc4953aa1a3819859029e9_22">
              <w:r>
                <w:rPr>
                  <w:rStyle w:val="InternetLink"/>
                  <w:rFonts w:ascii="Times New Roman;serif" w:hAnsi="Times New Roman;serif"/>
                  <w:b w:val="false"/>
                  <w:color w:val="0000FF"/>
                  <w:sz w:val="20"/>
                  <w:u w:val="single"/>
                </w:rPr>
                <w:t>Condensed Consolidated Statements of Changes in Shareholders' Equity for the Three Months Ended March 31, 2026 and 2025 (unaudited)</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0d1152d63dc4953aa1a3819859029e9_22">
              <w:r>
                <w:rPr>
                  <w:rStyle w:val="InternetLink"/>
                  <w:rFonts w:ascii="Times New Roman;serif" w:hAnsi="Times New Roman;serif"/>
                  <w:b w:val="false"/>
                  <w:color w:val="0000FF"/>
                  <w:sz w:val="20"/>
                  <w:u w:val="single"/>
                </w:rPr>
                <w:t>6</w:t>
              </w:r>
            </w:hyperlink>
          </w:p>
        </w:tc>
      </w:tr>
      <w:tr>
        <w:trPr/>
        <w:tc>
          <w:tcPr>
            <w:tcW w:w="118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50d1152d63dc4953aa1a3819859029e9_25">
              <w:r>
                <w:rPr>
                  <w:rStyle w:val="InternetLink"/>
                  <w:rFonts w:ascii="Times New Roman;serif" w:hAnsi="Times New Roman;serif"/>
                  <w:b w:val="false"/>
                  <w:color w:val="0000FF"/>
                  <w:sz w:val="20"/>
                  <w:u w:val="single"/>
                </w:rPr>
                <w:t>Condensed Consolidated Statements of Cash Flows for the Three Months Ended March 31, 2026 and 2025 (unaudited)</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0d1152d63dc4953aa1a3819859029e9_25">
              <w:r>
                <w:rPr>
                  <w:rStyle w:val="InternetLink"/>
                  <w:rFonts w:ascii="Times New Roman;serif" w:hAnsi="Times New Roman;serif"/>
                  <w:b w:val="false"/>
                  <w:color w:val="0000FF"/>
                  <w:sz w:val="20"/>
                  <w:u w:val="single"/>
                </w:rPr>
                <w:t>7</w:t>
              </w:r>
            </w:hyperlink>
          </w:p>
        </w:tc>
      </w:tr>
      <w:tr>
        <w:trPr/>
        <w:tc>
          <w:tcPr>
            <w:tcW w:w="118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0d1152d63dc4953aa1a3819859029e9_28">
              <w:r>
                <w:rPr>
                  <w:rStyle w:val="InternetLink"/>
                  <w:rFonts w:ascii="Times New Roman;serif" w:hAnsi="Times New Roman;serif"/>
                  <w:b w:val="false"/>
                  <w:color w:val="0000FF"/>
                  <w:sz w:val="20"/>
                  <w:u w:val="single"/>
                </w:rPr>
                <w:t>Notes to Condensed Consolidated Financial Statements (unaudited)</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0d1152d63dc4953aa1a3819859029e9_28">
              <w:r>
                <w:rPr>
                  <w:rStyle w:val="InternetLink"/>
                  <w:rFonts w:ascii="Times New Roman;serif" w:hAnsi="Times New Roman;serif"/>
                  <w:b w:val="false"/>
                  <w:color w:val="0000FF"/>
                  <w:sz w:val="20"/>
                  <w:u w:val="single"/>
                </w:rPr>
                <w:t>8</w:t>
              </w:r>
            </w:hyperlink>
          </w:p>
        </w:tc>
      </w:tr>
      <w:tr>
        <w:trPr/>
        <w:tc>
          <w:tcPr>
            <w:tcW w:w="118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0d1152d63dc4953aa1a3819859029e9_76">
              <w:r>
                <w:rPr>
                  <w:rStyle w:val="InternetLink"/>
                  <w:rFonts w:ascii="Times New Roman;serif" w:hAnsi="Times New Roman;serif"/>
                  <w:b w:val="false"/>
                  <w:color w:val="000000"/>
                  <w:sz w:val="20"/>
                  <w:u w:val="single"/>
                </w:rPr>
                <w:t>Item 2.</w:t>
              </w:r>
            </w:hyperlink>
          </w:p>
        </w:tc>
        <w:tc>
          <w:tcPr>
            <w:tcW w:w="8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0d1152d63dc4953aa1a3819859029e9_7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0d1152d63dc4953aa1a3819859029e9_76">
              <w:r>
                <w:rPr>
                  <w:rStyle w:val="InternetLink"/>
                  <w:rFonts w:ascii="Times New Roman;serif" w:hAnsi="Times New Roman;serif"/>
                  <w:b w:val="false"/>
                  <w:color w:val="0000FF"/>
                  <w:sz w:val="20"/>
                  <w:u w:val="single"/>
                </w:rPr>
                <w:t>48</w:t>
              </w:r>
            </w:hyperlink>
          </w:p>
        </w:tc>
      </w:tr>
      <w:tr>
        <w:trPr/>
        <w:tc>
          <w:tcPr>
            <w:tcW w:w="118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0d1152d63dc4953aa1a3819859029e9_97">
              <w:r>
                <w:rPr>
                  <w:rStyle w:val="InternetLink"/>
                  <w:rFonts w:ascii="Times New Roman;serif" w:hAnsi="Times New Roman;serif"/>
                  <w:b w:val="false"/>
                  <w:color w:val="000000"/>
                  <w:sz w:val="20"/>
                  <w:u w:val="single"/>
                </w:rPr>
                <w:t>Item 4.</w:t>
              </w:r>
            </w:hyperlink>
          </w:p>
        </w:tc>
        <w:tc>
          <w:tcPr>
            <w:tcW w:w="8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50d1152d63dc4953aa1a3819859029e9_97">
              <w:r>
                <w:rPr>
                  <w:rStyle w:val="InternetLink"/>
                  <w:rFonts w:ascii="Times New Roman;serif" w:hAnsi="Times New Roman;serif"/>
                  <w:b w:val="false"/>
                  <w:color w:val="0000FF"/>
                  <w:sz w:val="20"/>
                  <w:u w:val="single"/>
                </w:rPr>
                <w:t>Controls and Procedures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0d1152d63dc4953aa1a3819859029e9_97">
              <w:r>
                <w:rPr>
                  <w:rStyle w:val="InternetLink"/>
                  <w:rFonts w:ascii="Times New Roman;serif" w:hAnsi="Times New Roman;serif"/>
                  <w:b w:val="false"/>
                  <w:color w:val="0000FF"/>
                  <w:sz w:val="20"/>
                  <w:u w:val="single"/>
                </w:rPr>
                <w:t>77</w:t>
              </w:r>
            </w:hyperlink>
          </w:p>
        </w:tc>
      </w:tr>
      <w:tr>
        <w:trPr/>
        <w:tc>
          <w:tcPr>
            <w:tcW w:w="118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 - Other Information</w:t>
            </w:r>
          </w:p>
        </w:tc>
        <w:tc>
          <w:tcPr>
            <w:tcW w:w="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0d1152d63dc4953aa1a3819859029e9_103">
              <w:r>
                <w:rPr>
                  <w:rStyle w:val="InternetLink"/>
                  <w:rFonts w:ascii="Times New Roman;serif" w:hAnsi="Times New Roman;serif"/>
                  <w:b w:val="false"/>
                  <w:color w:val="000000"/>
                  <w:sz w:val="20"/>
                  <w:u w:val="single"/>
                </w:rPr>
                <w:t>Item 1.</w:t>
              </w:r>
            </w:hyperlink>
          </w:p>
        </w:tc>
        <w:tc>
          <w:tcPr>
            <w:tcW w:w="8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0d1152d63dc4953aa1a3819859029e9_103">
              <w:r>
                <w:rPr>
                  <w:rStyle w:val="InternetLink"/>
                  <w:rFonts w:ascii="Times New Roman;serif" w:hAnsi="Times New Roman;serif"/>
                  <w:b w:val="false"/>
                  <w:color w:val="0000FF"/>
                  <w:sz w:val="20"/>
                  <w:u w:val="single"/>
                </w:rPr>
                <w:t>Legal Proceedings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0d1152d63dc4953aa1a3819859029e9_103">
              <w:r>
                <w:rPr>
                  <w:rStyle w:val="InternetLink"/>
                  <w:rFonts w:ascii="Times New Roman;serif" w:hAnsi="Times New Roman;serif"/>
                  <w:b w:val="false"/>
                  <w:color w:val="0000FF"/>
                  <w:sz w:val="20"/>
                  <w:u w:val="single"/>
                </w:rPr>
                <w:t>78</w:t>
              </w:r>
            </w:hyperlink>
          </w:p>
        </w:tc>
      </w:tr>
      <w:tr>
        <w:trPr/>
        <w:tc>
          <w:tcPr>
            <w:tcW w:w="118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hyperlink w:anchor="i50d1152d63dc4953aa1a3819859029e9_106">
              <w:r>
                <w:rPr>
                  <w:rStyle w:val="InternetLink"/>
                  <w:rFonts w:ascii="Times New Roman;serif" w:hAnsi="Times New Roman;serif"/>
                  <w:b w:val="false"/>
                  <w:color w:val="000000"/>
                  <w:sz w:val="20"/>
                  <w:u w:val="single"/>
                </w:rPr>
                <w:t>Item 1A.</w:t>
              </w:r>
            </w:hyperlink>
          </w:p>
        </w:tc>
        <w:tc>
          <w:tcPr>
            <w:tcW w:w="8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0d1152d63dc4953aa1a3819859029e9_106">
              <w:r>
                <w:rPr>
                  <w:rStyle w:val="InternetLink"/>
                  <w:rFonts w:ascii="Times New Roman;serif" w:hAnsi="Times New Roman;serif"/>
                  <w:b w:val="false"/>
                  <w:color w:val="0000FF"/>
                  <w:sz w:val="20"/>
                  <w:u w:val="single"/>
                </w:rPr>
                <w:t>Risk Factors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0d1152d63dc4953aa1a3819859029e9_106">
              <w:r>
                <w:rPr>
                  <w:rStyle w:val="InternetLink"/>
                  <w:rFonts w:ascii="Times New Roman;serif" w:hAnsi="Times New Roman;serif"/>
                  <w:b w:val="false"/>
                  <w:color w:val="0000FF"/>
                  <w:sz w:val="20"/>
                  <w:u w:val="single"/>
                </w:rPr>
                <w:t>78</w:t>
              </w:r>
            </w:hyperlink>
          </w:p>
        </w:tc>
      </w:tr>
      <w:tr>
        <w:trPr/>
        <w:tc>
          <w:tcPr>
            <w:tcW w:w="118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0d1152d63dc4953aa1a3819859029e9_109">
              <w:r>
                <w:rPr>
                  <w:rStyle w:val="InternetLink"/>
                  <w:rFonts w:ascii="Times New Roman;serif" w:hAnsi="Times New Roman;serif"/>
                  <w:b w:val="false"/>
                  <w:color w:val="000000"/>
                  <w:sz w:val="20"/>
                  <w:u w:val="single"/>
                </w:rPr>
                <w:t>Item 2.</w:t>
              </w:r>
            </w:hyperlink>
          </w:p>
        </w:tc>
        <w:tc>
          <w:tcPr>
            <w:tcW w:w="8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0d1152d63dc4953aa1a3819859029e9_109">
              <w:r>
                <w:rPr>
                  <w:rStyle w:val="InternetLink"/>
                  <w:rFonts w:ascii="Times New Roman;serif" w:hAnsi="Times New Roman;serif"/>
                  <w:b w:val="false"/>
                  <w:color w:val="0000FF"/>
                  <w:sz w:val="20"/>
                  <w:u w:val="single"/>
                </w:rPr>
                <w:t>Unregistered Sales of Equity Securities and Use of Proceeds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0d1152d63dc4953aa1a3819859029e9_109">
              <w:r>
                <w:rPr>
                  <w:rStyle w:val="InternetLink"/>
                  <w:rFonts w:ascii="Times New Roman;serif" w:hAnsi="Times New Roman;serif"/>
                  <w:b w:val="false"/>
                  <w:color w:val="0000FF"/>
                  <w:sz w:val="20"/>
                  <w:u w:val="single"/>
                </w:rPr>
                <w:t>79</w:t>
              </w:r>
            </w:hyperlink>
          </w:p>
        </w:tc>
      </w:tr>
      <w:tr>
        <w:trPr/>
        <w:tc>
          <w:tcPr>
            <w:tcW w:w="118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0d1152d63dc4953aa1a3819859029e9_112">
              <w:r>
                <w:rPr>
                  <w:rStyle w:val="InternetLink"/>
                  <w:rFonts w:ascii="Times New Roman;serif" w:hAnsi="Times New Roman;serif"/>
                  <w:b w:val="false"/>
                  <w:color w:val="000000"/>
                  <w:sz w:val="20"/>
                  <w:u w:val="single"/>
                </w:rPr>
                <w:t>Item 3</w:t>
              </w:r>
            </w:hyperlink>
            <w:r>
              <w:rPr>
                <w:rFonts w:ascii="Times New Roman;serif" w:hAnsi="Times New Roman;serif"/>
                <w:b w:val="false"/>
                <w:color w:val="000000"/>
                <w:sz w:val="20"/>
              </w:rPr>
              <w:t>.</w:t>
            </w:r>
          </w:p>
        </w:tc>
        <w:tc>
          <w:tcPr>
            <w:tcW w:w="8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0d1152d63dc4953aa1a3819859029e9_112">
              <w:r>
                <w:rPr>
                  <w:rStyle w:val="InternetLink"/>
                  <w:rFonts w:ascii="Times New Roman;serif" w:hAnsi="Times New Roman;serif"/>
                  <w:b w:val="false"/>
                  <w:color w:val="0000FF"/>
                  <w:sz w:val="20"/>
                  <w:u w:val="single"/>
                </w:rPr>
                <w:t>Defaults Upon Senior Securities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0d1152d63dc4953aa1a3819859029e9_112">
              <w:r>
                <w:rPr>
                  <w:rStyle w:val="InternetLink"/>
                  <w:rFonts w:ascii="Times New Roman;serif" w:hAnsi="Times New Roman;serif"/>
                  <w:b w:val="false"/>
                  <w:color w:val="0000FF"/>
                  <w:sz w:val="20"/>
                  <w:u w:val="single"/>
                </w:rPr>
                <w:t>79</w:t>
              </w:r>
            </w:hyperlink>
          </w:p>
        </w:tc>
      </w:tr>
      <w:tr>
        <w:trPr/>
        <w:tc>
          <w:tcPr>
            <w:tcW w:w="118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0d1152d63dc4953aa1a3819859029e9_115">
              <w:r>
                <w:rPr>
                  <w:rStyle w:val="InternetLink"/>
                  <w:rFonts w:ascii="Times New Roman;serif" w:hAnsi="Times New Roman;serif"/>
                  <w:b w:val="false"/>
                  <w:color w:val="000000"/>
                  <w:sz w:val="20"/>
                  <w:u w:val="single"/>
                </w:rPr>
                <w:t>Item 4.</w:t>
              </w:r>
            </w:hyperlink>
          </w:p>
        </w:tc>
        <w:tc>
          <w:tcPr>
            <w:tcW w:w="8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0d1152d63dc4953aa1a3819859029e9_115">
              <w:r>
                <w:rPr>
                  <w:rStyle w:val="InternetLink"/>
                  <w:rFonts w:ascii="Times New Roman;serif" w:hAnsi="Times New Roman;serif"/>
                  <w:b w:val="false"/>
                  <w:color w:val="0000FF"/>
                  <w:sz w:val="20"/>
                  <w:u w:val="single"/>
                </w:rPr>
                <w:t>Mine Safety Disclosures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0d1152d63dc4953aa1a3819859029e9_115">
              <w:r>
                <w:rPr>
                  <w:rStyle w:val="InternetLink"/>
                  <w:rFonts w:ascii="Times New Roman;serif" w:hAnsi="Times New Roman;serif"/>
                  <w:b w:val="false"/>
                  <w:color w:val="0000FF"/>
                  <w:sz w:val="20"/>
                  <w:u w:val="single"/>
                </w:rPr>
                <w:t>79</w:t>
              </w:r>
            </w:hyperlink>
          </w:p>
        </w:tc>
      </w:tr>
      <w:tr>
        <w:trPr/>
        <w:tc>
          <w:tcPr>
            <w:tcW w:w="118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0d1152d63dc4953aa1a3819859029e9_118">
              <w:r>
                <w:rPr>
                  <w:rStyle w:val="InternetLink"/>
                  <w:rFonts w:ascii="Times New Roman;serif" w:hAnsi="Times New Roman;serif"/>
                  <w:b w:val="false"/>
                  <w:color w:val="000000"/>
                  <w:sz w:val="20"/>
                  <w:u w:val="single"/>
                </w:rPr>
                <w:t xml:space="preserve">Item 5. </w:t>
              </w:r>
            </w:hyperlink>
          </w:p>
        </w:tc>
        <w:tc>
          <w:tcPr>
            <w:tcW w:w="8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0d1152d63dc4953aa1a3819859029e9_118">
              <w:r>
                <w:rPr>
                  <w:rStyle w:val="InternetLink"/>
                  <w:rFonts w:ascii="Times New Roman;serif" w:hAnsi="Times New Roman;serif"/>
                  <w:b w:val="false"/>
                  <w:color w:val="0000FF"/>
                  <w:sz w:val="20"/>
                  <w:u w:val="single"/>
                </w:rPr>
                <w:t>Other Information</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0d1152d63dc4953aa1a3819859029e9_118">
              <w:r>
                <w:rPr>
                  <w:rStyle w:val="InternetLink"/>
                  <w:rFonts w:ascii="Times New Roman;serif" w:hAnsi="Times New Roman;serif"/>
                  <w:b w:val="false"/>
                  <w:color w:val="0000FF"/>
                  <w:sz w:val="20"/>
                  <w:u w:val="single"/>
                </w:rPr>
                <w:t>80</w:t>
              </w:r>
            </w:hyperlink>
          </w:p>
        </w:tc>
      </w:tr>
      <w:tr>
        <w:trPr/>
        <w:tc>
          <w:tcPr>
            <w:tcW w:w="118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Item 6.</w:t>
            </w:r>
          </w:p>
        </w:tc>
        <w:tc>
          <w:tcPr>
            <w:tcW w:w="8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0d1152d63dc4953aa1a3819859029e9_121">
              <w:r>
                <w:rPr>
                  <w:rStyle w:val="InternetLink"/>
                  <w:rFonts w:ascii="Times New Roman;serif" w:hAnsi="Times New Roman;serif"/>
                  <w:b w:val="false"/>
                  <w:color w:val="0000FF"/>
                  <w:sz w:val="20"/>
                  <w:u w:val="single"/>
                </w:rPr>
                <w:t>Exhibits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0d1152d63dc4953aa1a3819859029e9_121">
              <w:r>
                <w:rPr>
                  <w:rStyle w:val="InternetLink"/>
                  <w:rFonts w:ascii="Times New Roman;serif" w:hAnsi="Times New Roman;serif"/>
                  <w:b w:val="false"/>
                  <w:color w:val="0000FF"/>
                  <w:sz w:val="20"/>
                  <w:u w:val="single"/>
                </w:rPr>
                <w:t>81</w:t>
              </w:r>
            </w:hyperlink>
          </w:p>
        </w:tc>
      </w:tr>
      <w:tr>
        <w:trPr/>
        <w:tc>
          <w:tcPr>
            <w:tcW w:w="118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0d1152d63dc4953aa1a3819859029e9_124">
              <w:r>
                <w:rPr>
                  <w:rStyle w:val="InternetLink"/>
                  <w:rFonts w:ascii="Times New Roman;serif" w:hAnsi="Times New Roman;serif"/>
                  <w:b w:val="false"/>
                  <w:color w:val="0000FF"/>
                  <w:sz w:val="20"/>
                  <w:u w:val="single"/>
                </w:rPr>
                <w:t>Signatures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0d1152d63dc4953aa1a3819859029e9_124">
              <w:r>
                <w:rPr>
                  <w:rStyle w:val="InternetLink"/>
                  <w:rFonts w:ascii="Times New Roman;serif" w:hAnsi="Times New Roman;serif"/>
                  <w:b w:val="false"/>
                  <w:color w:val="0000FF"/>
                  <w:sz w:val="20"/>
                  <w:u w:val="single"/>
                </w:rPr>
                <w:t>82</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Item 1. Financial Statements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KESTREL GROUP LTD</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tbl>
      <w:tblPr>
        <w:tblW w:w="10205" w:type="dxa"/>
        <w:jc w:val="center"/>
        <w:tblInd w:w="0" w:type="dxa"/>
        <w:tblLayout w:type="fixed"/>
        <w:tblCellMar>
          <w:top w:w="28" w:type="dxa"/>
          <w:left w:w="28" w:type="dxa"/>
          <w:bottom w:w="28" w:type="dxa"/>
          <w:right w:w="28" w:type="dxa"/>
        </w:tblCellMar>
      </w:tblPr>
      <w:tblGrid>
        <w:gridCol w:w="2737"/>
        <w:gridCol w:w="2154"/>
        <w:gridCol w:w="2172"/>
        <w:gridCol w:w="109"/>
        <w:gridCol w:w="109"/>
        <w:gridCol w:w="109"/>
        <w:gridCol w:w="211"/>
        <w:gridCol w:w="826"/>
        <w:gridCol w:w="109"/>
        <w:gridCol w:w="109"/>
        <w:gridCol w:w="109"/>
        <w:gridCol w:w="109"/>
        <w:gridCol w:w="211"/>
        <w:gridCol w:w="976"/>
        <w:gridCol w:w="155"/>
      </w:tblGrid>
      <w:tr>
        <w:trPr/>
        <w:tc>
          <w:tcPr>
            <w:tcW w:w="2737"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(Audited)</w:t>
            </w:r>
          </w:p>
        </w:tc>
      </w:tr>
      <w:tr>
        <w:trPr/>
        <w:tc>
          <w:tcPr>
            <w:tcW w:w="7063"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i/>
                <w:color w:val="000000"/>
                <w:sz w:val="20"/>
              </w:rPr>
            </w:pPr>
            <w:r>
              <w:rPr>
                <w:rFonts w:ascii="Times New Roman;serif" w:hAnsi="Times New Roman;serif"/>
                <w:b w:val="false"/>
                <w:i/>
                <w:color w:val="000000"/>
                <w:sz w:val="20"/>
              </w:rPr>
              <w:t>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Fixed maturities: available-for-sale, at fair value </w:t>
            </w:r>
            <w:r>
              <w:rPr>
                <w:rFonts w:ascii="Times New Roman;serif" w:hAnsi="Times New Roman;serif"/>
                <w:b w:val="false"/>
                <w:i/>
                <w:color w:val="000000"/>
                <w:sz w:val="18"/>
              </w:rPr>
              <w:t>(Amortized cost: 2026: $118,298; 2025: $164,352)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Equity securities: at fair value </w:t>
            </w:r>
            <w:r>
              <w:rPr>
                <w:rFonts w:ascii="Times New Roman;serif" w:hAnsi="Times New Roman;serif"/>
                <w:b w:val="false"/>
                <w:i/>
                <w:color w:val="000000"/>
                <w:sz w:val="20"/>
              </w:rPr>
              <w:t>(Cost: 2026: $11,145; 2025: $11,145)</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11,748 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11,748 </w:t>
            </w:r>
          </w:p>
        </w:tc>
        <w:tc>
          <w:tcPr>
            <w:tcW w:w="15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Other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175,670 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173,358 </w:t>
            </w:r>
          </w:p>
        </w:tc>
        <w:tc>
          <w:tcPr>
            <w:tcW w:w="15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383,673 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063"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Cash and cash equivalents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15,052 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15,480 </w:t>
            </w:r>
          </w:p>
        </w:tc>
        <w:tc>
          <w:tcPr>
            <w:tcW w:w="155"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063"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Accrued investment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4,872 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5,003 </w:t>
            </w:r>
          </w:p>
        </w:tc>
        <w:tc>
          <w:tcPr>
            <w:tcW w:w="15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Reinsurance balances receivable, net (includes $0 and $2 from related parties in 2026 and 2025, respectively. </w:t>
            </w:r>
            <w:r>
              <w:rPr>
                <w:rFonts w:ascii="Times New Roman;serif" w:hAnsi="Times New Roman;serif"/>
                <w:b w:val="false"/>
                <w:i/>
                <w:color w:val="000000"/>
                <w:sz w:val="20"/>
              </w:rPr>
              <w:t>Allowance for expected credit losses: 2026 - $14; 2025 - $14)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Reinsurance recoverable on unpaid losses: </w:t>
            </w:r>
            <w:r>
              <w:rPr>
                <w:rFonts w:ascii="Times New Roman;serif" w:hAnsi="Times New Roman;serif"/>
                <w:b w:val="false"/>
                <w:i/>
                <w:color w:val="000000"/>
                <w:sz w:val="20"/>
              </w:rPr>
              <w:t>(Allowance for expected credit losses: 2026: $1,930; 2025: $1,740)</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436,381 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461,197 </w:t>
            </w:r>
          </w:p>
        </w:tc>
        <w:tc>
          <w:tcPr>
            <w:tcW w:w="155"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loan receivable from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8,509 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9,347 </w:t>
            </w:r>
          </w:p>
        </w:tc>
        <w:tc>
          <w:tcPr>
            <w:tcW w:w="15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Funds withheld receivable:</w:t>
            </w:r>
            <w:r>
              <w:rPr>
                <w:color w:val="000000"/>
              </w:rPr>
              <w:t xml:space="preserve"> </w:t>
            </w:r>
            <w:r>
              <w:rPr>
                <w:rFonts w:ascii="Times New Roman;serif" w:hAnsi="Times New Roman;serif"/>
                <w:b w:val="false"/>
                <w:i/>
                <w:color w:val="000000"/>
                <w:sz w:val="20"/>
              </w:rPr>
              <w:t>(Allowance for expected credit losses: 2026: $2; 2025: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063"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assets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17,636 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17,740 </w:t>
            </w:r>
          </w:p>
        </w:tc>
        <w:tc>
          <w:tcPr>
            <w:tcW w:w="15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964,227 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1,009,955 </w:t>
            </w:r>
          </w:p>
        </w:tc>
        <w:tc>
          <w:tcPr>
            <w:tcW w:w="15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Reserve for loss and loss adjustment expenses (includes $514,149 and $554,507 from related parties in 2026 and 2025, respectively)</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593,350 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637,169 </w:t>
            </w:r>
          </w:p>
        </w:tc>
        <w:tc>
          <w:tcPr>
            <w:tcW w:w="15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Unearned premiums (includes $16,815 and $17,227 from related parties in 2026 and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063"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 (includes $27,468 and $16,443 from related parties in 2026 and 2025, respectively)</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57,426 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52,032 </w:t>
            </w:r>
          </w:p>
        </w:tc>
        <w:tc>
          <w:tcPr>
            <w:tcW w:w="155"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Senior notes - principal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fair value adjustment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87,639 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87,959 </w:t>
            </w:r>
          </w:p>
        </w:tc>
        <w:tc>
          <w:tcPr>
            <w:tcW w:w="15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Senior notes,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174,402 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held for sale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5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881,671 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i/>
                <w:color w:val="000000"/>
                <w:sz w:val="20"/>
              </w:rPr>
            </w:pPr>
            <w:r>
              <w:rPr>
                <w:rFonts w:ascii="Times New Roman;serif" w:hAnsi="Times New Roman;serif"/>
                <w:b/>
                <w:i/>
                <w:color w:val="000000"/>
                <w:sz w:val="20"/>
              </w:rPr>
              <w:t>Commitments and Contingencies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063"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shares ($0.01 par value; 2026: 10,108,600 and 2025: 9,979,477 shares issued; 2026: 7,824,030 and 2025: 7,741,943 shares outstanding)</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5"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color w:val="000000"/>
              </w:rPr>
            </w:pPr>
            <w:r>
              <w:rPr>
                <w:color w:val="000000"/>
              </w:rPr>
              <w:t>   </w:t>
            </w:r>
            <w:r>
              <w:rPr>
                <w:rFonts w:ascii="Times New Roman;serif" w:hAnsi="Times New Roman;serif"/>
                <w:b w:val="false"/>
                <w:color w:val="000000"/>
                <w:sz w:val="20"/>
              </w:rPr>
              <w:t>Accumulated other comprehensive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55"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(Accumulated deficit) 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shares, at cost (2026: 2,284,570 shares, 2025: 2,237,534 shares)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(51,949)</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(51,463)</w:t>
            </w:r>
          </w:p>
        </w:tc>
        <w:tc>
          <w:tcPr>
            <w:tcW w:w="15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Total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128,284 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063"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Total liabilities and equity</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964,227 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1,009,955 </w:t>
            </w:r>
          </w:p>
        </w:tc>
        <w:tc>
          <w:tcPr>
            <w:tcW w:w="15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KESTREL GROUP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per share data)</w:t>
      </w:r>
    </w:p>
    <w:tbl>
      <w:tblPr>
        <w:tblW w:w="10205" w:type="dxa"/>
        <w:jc w:val="center"/>
        <w:tblInd w:w="0" w:type="dxa"/>
        <w:tblLayout w:type="fixed"/>
        <w:tblCellMar>
          <w:top w:w="28" w:type="dxa"/>
          <w:left w:w="28" w:type="dxa"/>
          <w:bottom w:w="28" w:type="dxa"/>
          <w:right w:w="28" w:type="dxa"/>
        </w:tblCellMar>
      </w:tblPr>
      <w:tblGrid>
        <w:gridCol w:w="2221"/>
        <w:gridCol w:w="1809"/>
        <w:gridCol w:w="1828"/>
        <w:gridCol w:w="109"/>
        <w:gridCol w:w="109"/>
        <w:gridCol w:w="109"/>
        <w:gridCol w:w="109"/>
        <w:gridCol w:w="109"/>
        <w:gridCol w:w="205"/>
        <w:gridCol w:w="205"/>
        <w:gridCol w:w="448"/>
        <w:gridCol w:w="1279"/>
        <w:gridCol w:w="205"/>
        <w:gridCol w:w="109"/>
        <w:gridCol w:w="109"/>
        <w:gridCol w:w="109"/>
        <w:gridCol w:w="279"/>
        <w:gridCol w:w="697"/>
        <w:gridCol w:w="157"/>
      </w:tblGrid>
      <w:tr>
        <w:trPr/>
        <w:tc>
          <w:tcPr>
            <w:tcW w:w="2221"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460" w:type="dxa"/>
            <w:gridSpan w:val="6"/>
            <w:tcBorders/>
          </w:tcPr>
          <w:p>
            <w:pPr>
              <w:pStyle w:val="TableContents"/>
              <w:bidi w:val="0"/>
              <w:spacing w:before="0" w:after="283"/>
              <w:jc w:val="left"/>
              <w:rPr>
                <w:sz w:val="4"/>
                <w:szCs w:val="4"/>
              </w:rPr>
            </w:pPr>
            <w:r>
              <w:rPr>
                <w:sz w:val="4"/>
                <w:szCs w:val="4"/>
              </w:rPr>
            </w:r>
          </w:p>
        </w:tc>
      </w:tr>
      <w:tr>
        <w:trPr/>
        <w:tc>
          <w:tcPr>
            <w:tcW w:w="5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9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858"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932"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48"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2,654 </w:t>
            </w:r>
          </w:p>
        </w:tc>
        <w:tc>
          <w:tcPr>
            <w:tcW w:w="205" w:type="dxa"/>
            <w:tcBorders>
              <w:top w:val="doub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doub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Change in unearned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Net premiums earned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72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3,157 </w:t>
            </w:r>
          </w:p>
        </w:tc>
        <w:tc>
          <w:tcPr>
            <w:tcW w:w="20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Fee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7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2,577 </w:t>
            </w:r>
          </w:p>
        </w:tc>
        <w:tc>
          <w:tcPr>
            <w:tcW w:w="20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investment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5858"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Total revenues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72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10,193 </w:t>
            </w:r>
          </w:p>
        </w:tc>
        <w:tc>
          <w:tcPr>
            <w:tcW w:w="20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5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9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loss and loss adjustment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7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2,255 </w:t>
            </w:r>
          </w:p>
        </w:tc>
        <w:tc>
          <w:tcPr>
            <w:tcW w:w="20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Commission and other acquisition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7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11,743 </w:t>
            </w:r>
          </w:p>
        </w:tc>
        <w:tc>
          <w:tcPr>
            <w:tcW w:w="20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1,143 </w:t>
            </w:r>
          </w:p>
        </w:tc>
        <w:tc>
          <w:tcPr>
            <w:tcW w:w="15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Interest and amortization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5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5858"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Foreign exchange and other gains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7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w:t>
            </w:r>
          </w:p>
        </w:tc>
        <w:tc>
          <w:tcPr>
            <w:tcW w:w="20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7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17,139 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Net loss before income taxes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72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(6,946)</w:t>
            </w:r>
          </w:p>
        </w:tc>
        <w:tc>
          <w:tcPr>
            <w:tcW w:w="20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15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 loss of equity method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7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7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(6,953)</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net of income tax</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7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20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(7,431)</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5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5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5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585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932"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5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5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5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58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Basic and diluted loss from continuing operations per share attributable to Kestrel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Basic and diluted loss from discontinued operations per share attributable to Kestrel common shareholders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7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20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Basic and diluted loss per share attributable to Kestrel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5858"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 basic and diluted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727" w:type="dxa"/>
            <w:gridSpan w:val="2"/>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7,752,415 </w:t>
            </w:r>
          </w:p>
        </w:tc>
        <w:tc>
          <w:tcPr>
            <w:tcW w:w="205" w:type="dxa"/>
            <w:tcBorders>
              <w:top w:val="doub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2,749,996 </w:t>
            </w:r>
          </w:p>
        </w:tc>
        <w:tc>
          <w:tcPr>
            <w:tcW w:w="157" w:type="dxa"/>
            <w:tcBorders>
              <w:top w:val="doub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KESTREL GROUP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w:t>
      </w:r>
    </w:p>
    <w:tbl>
      <w:tblPr>
        <w:tblW w:w="10205" w:type="dxa"/>
        <w:jc w:val="center"/>
        <w:tblInd w:w="0" w:type="dxa"/>
        <w:tblLayout w:type="fixed"/>
        <w:tblCellMar>
          <w:top w:w="28" w:type="dxa"/>
          <w:left w:w="28" w:type="dxa"/>
          <w:bottom w:w="28" w:type="dxa"/>
          <w:right w:w="28" w:type="dxa"/>
        </w:tblCellMar>
      </w:tblPr>
      <w:tblGrid>
        <w:gridCol w:w="2040"/>
        <w:gridCol w:w="1778"/>
        <w:gridCol w:w="1814"/>
        <w:gridCol w:w="109"/>
        <w:gridCol w:w="109"/>
        <w:gridCol w:w="109"/>
        <w:gridCol w:w="109"/>
        <w:gridCol w:w="109"/>
        <w:gridCol w:w="248"/>
        <w:gridCol w:w="248"/>
        <w:gridCol w:w="481"/>
        <w:gridCol w:w="1572"/>
        <w:gridCol w:w="248"/>
        <w:gridCol w:w="109"/>
        <w:gridCol w:w="109"/>
        <w:gridCol w:w="109"/>
        <w:gridCol w:w="211"/>
        <w:gridCol w:w="534"/>
        <w:gridCol w:w="159"/>
      </w:tblGrid>
      <w:tr>
        <w:trPr/>
        <w:tc>
          <w:tcPr>
            <w:tcW w:w="2040"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231" w:type="dxa"/>
            <w:gridSpan w:val="6"/>
            <w:tcBorders/>
          </w:tcPr>
          <w:p>
            <w:pPr>
              <w:pStyle w:val="TableContents"/>
              <w:bidi w:val="0"/>
              <w:spacing w:before="0" w:after="283"/>
              <w:jc w:val="left"/>
              <w:rPr>
                <w:sz w:val="4"/>
                <w:szCs w:val="4"/>
              </w:rPr>
            </w:pPr>
            <w:r>
              <w:rPr>
                <w:sz w:val="4"/>
                <w:szCs w:val="4"/>
              </w:rPr>
            </w:r>
          </w:p>
        </w:tc>
      </w:tr>
      <w:tr>
        <w:trPr/>
        <w:tc>
          <w:tcPr>
            <w:tcW w:w="5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632"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(7,431)</w:t>
            </w:r>
          </w:p>
        </w:tc>
        <w:tc>
          <w:tcPr>
            <w:tcW w:w="24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15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3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2"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unrealized holdings losses on AFS fixed maturities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05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w:t>
            </w:r>
          </w:p>
        </w:tc>
        <w:tc>
          <w:tcPr>
            <w:tcW w:w="24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losses on held for sale AFS fixed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5632"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Adjustment for reclassification of net realized gains recognized in net loss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05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4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2"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before tax</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053"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c>
          <w:tcPr>
            <w:tcW w:w="24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related to components of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2"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after tax</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053"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c>
          <w:tcPr>
            <w:tcW w:w="24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(7,810)</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5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5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5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KESTREL GROUP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SHAREHOLDERS' EQUITY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w:t>
      </w:r>
    </w:p>
    <w:tbl>
      <w:tblPr>
        <w:tblW w:w="10205" w:type="dxa"/>
        <w:jc w:val="center"/>
        <w:tblInd w:w="0" w:type="dxa"/>
        <w:tblLayout w:type="fixed"/>
        <w:tblCellMar>
          <w:top w:w="28" w:type="dxa"/>
          <w:left w:w="28" w:type="dxa"/>
          <w:bottom w:w="28" w:type="dxa"/>
          <w:right w:w="28" w:type="dxa"/>
        </w:tblCellMar>
      </w:tblPr>
      <w:tblGrid>
        <w:gridCol w:w="1987"/>
        <w:gridCol w:w="1743"/>
        <w:gridCol w:w="1741"/>
        <w:gridCol w:w="109"/>
        <w:gridCol w:w="109"/>
        <w:gridCol w:w="109"/>
        <w:gridCol w:w="109"/>
        <w:gridCol w:w="109"/>
        <w:gridCol w:w="229"/>
        <w:gridCol w:w="229"/>
        <w:gridCol w:w="445"/>
        <w:gridCol w:w="1745"/>
        <w:gridCol w:w="229"/>
        <w:gridCol w:w="109"/>
        <w:gridCol w:w="109"/>
        <w:gridCol w:w="109"/>
        <w:gridCol w:w="211"/>
        <w:gridCol w:w="616"/>
        <w:gridCol w:w="158"/>
      </w:tblGrid>
      <w:tr>
        <w:trPr/>
        <w:tc>
          <w:tcPr>
            <w:tcW w:w="1987"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312" w:type="dxa"/>
            <w:gridSpan w:val="6"/>
            <w:tcBorders/>
          </w:tcPr>
          <w:p>
            <w:pPr>
              <w:pStyle w:val="TableContents"/>
              <w:bidi w:val="0"/>
              <w:spacing w:before="0" w:after="283"/>
              <w:jc w:val="left"/>
              <w:rPr>
                <w:sz w:val="4"/>
                <w:szCs w:val="4"/>
              </w:rPr>
            </w:pPr>
            <w:r>
              <w:rPr>
                <w:sz w:val="4"/>
                <w:szCs w:val="4"/>
              </w:rPr>
            </w:r>
          </w:p>
        </w:tc>
      </w:tr>
      <w:tr>
        <w:trPr/>
        <w:tc>
          <w:tcPr>
            <w:tcW w:w="5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1"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5"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5"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2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shares from vesting of stock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1"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190"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2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1"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19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177,534 </w:t>
            </w:r>
          </w:p>
        </w:tc>
        <w:tc>
          <w:tcPr>
            <w:tcW w:w="22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10,107 </w:t>
            </w:r>
          </w:p>
        </w:tc>
        <w:tc>
          <w:tcPr>
            <w:tcW w:w="15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shares from vesting of stock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19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1,449 </w:t>
            </w:r>
          </w:p>
        </w:tc>
        <w:tc>
          <w:tcPr>
            <w:tcW w:w="22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178,982 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1"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Accumulated other comprehensive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19"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1"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Change in net unrealized investment losses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19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c>
          <w:tcPr>
            <w:tcW w:w="22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1"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190"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22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Retained earnings (accumulated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1"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19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22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(5,528)</w:t>
            </w:r>
          </w:p>
        </w:tc>
        <w:tc>
          <w:tcPr>
            <w:tcW w:w="15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5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471"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190"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(6,234)</w:t>
            </w:r>
          </w:p>
        </w:tc>
        <w:tc>
          <w:tcPr>
            <w:tcW w:w="22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(5,922)</w:t>
            </w:r>
          </w:p>
        </w:tc>
        <w:tc>
          <w:tcPr>
            <w:tcW w:w="15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Treasury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1"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19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(51,463)</w:t>
            </w:r>
          </w:p>
        </w:tc>
        <w:tc>
          <w:tcPr>
            <w:tcW w:w="22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5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Shares repurchased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1"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190"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(51,949)</w:t>
            </w:r>
          </w:p>
        </w:tc>
        <w:tc>
          <w:tcPr>
            <w:tcW w:w="22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Total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121,437 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KESTREL GROUP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 of U.S. dollars)</w:t>
      </w:r>
    </w:p>
    <w:tbl>
      <w:tblPr>
        <w:tblW w:w="9740" w:type="dxa"/>
        <w:jc w:val="center"/>
        <w:tblInd w:w="0" w:type="dxa"/>
        <w:tblLayout w:type="fixed"/>
        <w:tblCellMar>
          <w:top w:w="28" w:type="dxa"/>
          <w:left w:w="28" w:type="dxa"/>
          <w:bottom w:w="28" w:type="dxa"/>
          <w:right w:w="28" w:type="dxa"/>
        </w:tblCellMar>
      </w:tblPr>
      <w:tblGrid>
        <w:gridCol w:w="2616"/>
        <w:gridCol w:w="2297"/>
        <w:gridCol w:w="2316"/>
        <w:gridCol w:w="109"/>
        <w:gridCol w:w="109"/>
        <w:gridCol w:w="109"/>
        <w:gridCol w:w="196"/>
        <w:gridCol w:w="646"/>
        <w:gridCol w:w="109"/>
        <w:gridCol w:w="109"/>
        <w:gridCol w:w="109"/>
        <w:gridCol w:w="109"/>
        <w:gridCol w:w="196"/>
        <w:gridCol w:w="556"/>
        <w:gridCol w:w="154"/>
      </w:tblGrid>
      <w:tr>
        <w:trPr/>
        <w:tc>
          <w:tcPr>
            <w:tcW w:w="2616"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229"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net loss from discontinued operations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Adjustments to reconcile net loss to net cash flows from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expenses (credit losses, depreciation, amortization, leases)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in loss of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realized and unrealized investment gains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(1,339)</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Foreign exchange and other gains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(2,228)</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8"/>
              </w:rPr>
              <w:t xml:space="preserve">Changes in assets </w:t>
            </w:r>
            <w:r>
              <w:rPr>
                <w:color w:val="000000"/>
              </w:rPr>
              <w:t xml:space="preserve">– </w:t>
            </w:r>
            <w:r>
              <w:rPr>
                <w:rFonts w:ascii="Times New Roman;serif" w:hAnsi="Times New Roman;serif"/>
                <w:b w:val="false"/>
                <w:i/>
                <w:color w:val="000000"/>
                <w:sz w:val="18"/>
              </w:rPr>
              <w:t>(increase)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Reinsurance balances receivable, net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Reinsurance recoverable on unpaid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investment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Funds withheld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8"/>
              </w:rPr>
              <w:t xml:space="preserve">Changes in liabilities </w:t>
            </w:r>
            <w:r>
              <w:rPr>
                <w:color w:val="000000"/>
              </w:rPr>
              <w:t xml:space="preserve">– </w:t>
            </w:r>
            <w:r>
              <w:rPr>
                <w:rFonts w:ascii="Times New Roman;serif" w:hAnsi="Times New Roman;serif"/>
                <w:b w:val="false"/>
                <w:i/>
                <w:color w:val="000000"/>
                <w:sz w:val="18"/>
              </w:rPr>
              <w:t>increase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Reserve for loss and loss adjustment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(16,740)</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Unearned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5,559 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discontinued operations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Cash flows from investing activities: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fixed maturities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other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(2,257)</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fixed maturities </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38,117 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paydowns and calls of fixed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and redemption of other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loan receivable from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Others, net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cash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Cash flows from financing activities: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Effect of exchange rate changes on foreign currency cash, restricted cash and cash equivalents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restricted cash and cash equivalents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36,831 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restricted cash and cash equivalents,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restricted cash and cash equivalents, end of period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61,457 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3,410 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Less: change in cash and cash equivalents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restricted cash and cash equivalents, end of period, excluding held-for-sale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62,211 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3,410 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Reconciliation of cash and restricted cash reported within Condensed Consolidated Balance Sheets: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period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15,052 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3,410 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cash, restricted cash and cash equivalents, end of period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62,211 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3,410 </w:t>
            </w:r>
          </w:p>
        </w:tc>
        <w:tc>
          <w:tcPr>
            <w:tcW w:w="15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20"/>
        <w:jc w:val="left"/>
        <w:rPr/>
      </w:pPr>
      <w:r>
        <w:rPr>
          <w:rFonts w:ascii="Times New Roman;serif" w:hAnsi="Times New Roman;serif"/>
          <w:b/>
          <w:color w:val="000000"/>
          <w:sz w:val="20"/>
        </w:rPr>
        <w:t>1.</w:t>
      </w:r>
      <w:r>
        <w:rPr>
          <w:color w:val="000000"/>
        </w:rPr>
        <w:t xml:space="preserve"> </w:t>
      </w:r>
      <w:r>
        <w:rPr>
          <w:rFonts w:ascii="Times New Roman;serif" w:hAnsi="Times New Roman;serif"/>
          <w:b/>
          <w:color w:val="000000"/>
          <w:sz w:val="20"/>
        </w:rPr>
        <w:t>Basis of Presentation</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include the accounts of Kestrel Group Ltd ("Parent Company" or "Kestrel Group") and its subsidiaries (the "Company" or "Kestrel"). They have been prepared in accordance with accounting principles generally accepted in the United States ("U.S. GAAP") for interim financial information and with the instructions to Form 10-Q and Article 10 of Regulation S-X as promulgated by the U.S. Securities and Exchange Commission ("SEC"). Accordingly, they do not include all of the information and footnotes required by U.S. GAAP for complete financial statements and therefore the following notes should be read in conjunction with those disclosed in the Company's Annual Report on Form 10-K for December 31, 2025. All significant intercompany transactions and accounts have been eliminated.</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These interim unaudited Condensed Consolidated Financial Statements reflect all adjustments that are, in the opinion of management, necessary for a fair presentation of the results for the interim period and all such adjustments are of a normal recurring nature. The results of operations for the interim period are not necessarily indicative, if annualized, of those to be expected for the full year. The preparation of financial statements in conformity with U.S. GAAP requires management to make estimates and assumptions that affect the amounts reported in the financial statements and accompanying notes. Actual results could differ from those estimates.</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Kestrel Group transitioned from Article 5 to Article 7 of Regulation S-X as promulgated by the SEC since its core business fundamentally shifted from a general commercial operation to primarily functioning as an insurance company under its recent business combination as discussed further below. This change in SEC filing status necessitated significant adjustments to how the Company presents its balance sheet, income statement and other financial statements, to align with the specific requirements of Article 7 for insurance companies. As a result, the Company's assets, liabilities, and equity accounts have been reclassified to fit the new presentation requirements under Article 7. Certain prior year comparatives have been reclassified to conform to current period presentation. The effect of these reclassifications had no impact on previously reported shareholders' equity or net income, except the 2024 Kestrel equity was recast to conform with the 2025 number of common shares issued to Kestrel equityholders and revised equity structure. Please see section on </w:t>
      </w:r>
      <w:r>
        <w:rPr>
          <w:rFonts w:ascii="Times New Roman;serif" w:hAnsi="Times New Roman;serif"/>
          <w:b w:val="false"/>
          <w:i/>
          <w:color w:val="000000"/>
          <w:sz w:val="20"/>
        </w:rPr>
        <w:t xml:space="preserve">Accounting Treatment for the Combination </w:t>
      </w:r>
      <w:r>
        <w:rPr>
          <w:rFonts w:ascii="Times New Roman;serif" w:hAnsi="Times New Roman;serif"/>
          <w:b w:val="false"/>
          <w:color w:val="000000"/>
          <w:sz w:val="20"/>
        </w:rPr>
        <w:t xml:space="preserve">for further details. </w:t>
      </w:r>
    </w:p>
    <w:p>
      <w:pPr>
        <w:pStyle w:val="TextBody"/>
        <w:bidi w:val="0"/>
        <w:spacing w:lineRule="auto" w:line="240" w:before="0" w:after="120"/>
        <w:jc w:val="left"/>
        <w:rPr>
          <w:rFonts w:ascii="Times New Roman;serif" w:hAnsi="Times New Roman;serif"/>
          <w:b/>
          <w:i/>
          <w:color w:val="000000"/>
          <w:sz w:val="20"/>
        </w:rPr>
      </w:pPr>
      <w:r>
        <w:rPr>
          <w:rFonts w:ascii="Times New Roman;serif" w:hAnsi="Times New Roman;serif"/>
          <w:b/>
          <w:i/>
          <w:color w:val="000000"/>
          <w:sz w:val="20"/>
        </w:rPr>
        <w:t>Introductory Note</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On May 27, 2025, Kestrel Group LLC (“Kestrel LLC”) and Maiden Holdings, Ltd. (“Maiden”) completed their previously announced combination agreement ("Combination"), forming a new, publicly listed specialty program company operating under the name Kestrel Group Ltd. The Combination, which had been previously announced on December 30, 2024, effectuated the transaction via the formation of a new Bermuda holding company, Bermuda Ranger Topco Ltd. ("Bermuda NewCo"). Both Kestrel LLC and Maiden completed a series of transactions to become indirect wholly owned subsidiaries of Bermuda NewCo, and upon the closing of the transactions, Bermuda NewCo was renamed “Kestrel Group Ltd” and rebranded as Kestrel Group and is the successor company to Maiden. </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Maiden shares ceased trading on the NASDAQ Capital Market ("Nasdaq") at close of market on May 27, 2025 and Kestrel Group shares began trading on the Nasdaq on May 28, 2025 under the ticker symbol “KG”. The Combination creates a capital light, fee-based insurance platform with the ability to selectively deploy underwriting capacity to optimize shareholder returns. </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Maiden Reinsurance Ltd. (“Maiden Reinsurance”) owns approximately 22.1% of the Company's total issued and outstanding common shares, which is eliminated for accounting and financial reporting purposes in our condensed consolidated financial statements. The voting power of Maiden Reinsurance, with respect to its common shares, is no longer capped due to an approval by Maiden shareholders to remove the voting limitation prior to the Combination. </w:t>
      </w:r>
    </w:p>
    <w:p>
      <w:pPr>
        <w:pStyle w:val="TextBody"/>
        <w:bidi w:val="0"/>
        <w:spacing w:lineRule="auto" w:line="240" w:before="60" w:after="120"/>
        <w:ind w:left="0" w:right="0" w:firstLine="270"/>
        <w:jc w:val="both"/>
        <w:rPr/>
      </w:pPr>
      <w:r>
        <w:rPr>
          <w:rFonts w:ascii="Times New Roman;serif" w:hAnsi="Times New Roman;serif"/>
          <w:b w:val="false"/>
          <w:color w:val="000000"/>
          <w:sz w:val="20"/>
        </w:rPr>
        <w:t xml:space="preserve">Pursuant to the terms of the Combination, at the closing of the transaction on May 27, 2025, each issued and outstanding common share of Maiden, par value $0.01 per share, was automatically canceled and converted into the right to receive one-twentieth (0.05) of a common share in Kestrel Group. Please see </w:t>
      </w:r>
      <w:r>
        <w:rPr>
          <w:rFonts w:ascii="Times New Roman;serif" w:hAnsi="Times New Roman;serif"/>
          <w:b w:val="false"/>
          <w:i/>
          <w:color w:val="000000"/>
          <w:sz w:val="20"/>
        </w:rPr>
        <w:t>Note 6. Shareholders' Equity</w:t>
      </w:r>
      <w:r>
        <w:rPr>
          <w:color w:val="000000"/>
        </w:rPr>
        <w:t xml:space="preserve"> </w:t>
      </w:r>
      <w:r>
        <w:rPr>
          <w:rFonts w:ascii="Times New Roman;serif" w:hAnsi="Times New Roman;serif"/>
          <w:b w:val="false"/>
          <w:color w:val="000000"/>
          <w:sz w:val="20"/>
        </w:rPr>
        <w:t>for details of authorized share capital under the combined company.</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equityholders of Kestrel LLC at the closing date received an aggregate of $40,000 in upfront cash and 2,749,996 common shares of the combined company. In addition, the former equityholders of Kestrel LLC remain entitled to receive contingent consideration up to the lesser of (x) $45,000 payable in common shares of Kestrel Group upon the achievement of certain financial milestones, and (y) 2,750,000 common shares of Kestrel Group.</w:t>
      </w:r>
    </w:p>
    <w:p>
      <w:pPr>
        <w:pStyle w:val="TextBody"/>
        <w:bidi w:val="0"/>
        <w:spacing w:lineRule="auto" w:line="240" w:before="60" w:after="120"/>
        <w:ind w:left="0" w:right="0" w:firstLine="270"/>
        <w:jc w:val="both"/>
        <w:rPr/>
      </w:pPr>
      <w:r>
        <w:rPr>
          <w:rFonts w:ascii="Times New Roman;serif" w:hAnsi="Times New Roman;serif"/>
          <w:b w:val="false"/>
          <w:color w:val="000000"/>
          <w:sz w:val="20"/>
        </w:rPr>
        <w:t xml:space="preserve">Following completion of the Combination, the board of directors of Kestrel Group consists of seven directors, made up of four directors selected by Kestrel Intermediate Ledbetter Holdings LLC, two of whom are independent under applicable securities laws and stock exchange rules, and three directors selected by AmTrust Financial Services, Inc. (“AmTrust”), two of whom are independent under applicable securities laws and stock exchange rules. Please see </w:t>
      </w:r>
      <w:r>
        <w:rPr>
          <w:rFonts w:ascii="Times New Roman;serif" w:hAnsi="Times New Roman;serif"/>
          <w:b w:val="false"/>
          <w:i/>
          <w:color w:val="000000"/>
          <w:sz w:val="20"/>
        </w:rPr>
        <w:t>Note 10. Related Party Transactions</w:t>
      </w:r>
      <w:r>
        <w:rPr>
          <w:color w:val="000000"/>
        </w:rPr>
        <w:t xml:space="preserve"> </w:t>
      </w:r>
      <w:r>
        <w:rPr>
          <w:rFonts w:ascii="Times New Roman;serif" w:hAnsi="Times New Roman;serif"/>
          <w:b w:val="false"/>
          <w:color w:val="000000"/>
          <w:sz w:val="20"/>
        </w:rPr>
        <w:t>for information regarding the Company's relationship with AmTrust.</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Combination was completed with both parties in receipt of necessary regulatory approvals, including from the Vermont Department of Financial Regulation ("Vermont DFR") which included approval for the extraordinary dividend required to complete the transaction. Under the conditions stipulated in the Vermont DFR approval, Maiden Reinsurance is no longer permitted to include the intercompany loan receivable from Maiden (and related accrued interest) as an admitted asset for statutory capital and reporting purposes. As a result, Maiden Reinsurance's ratio of risk-based capital to total adjusted capital was significantly reduced, however the ratio remains sufficient to not only support the dividends related to the Combination with Kestrel and recurring annual dividends (and which require prior approval by the Vermont DFR) but the ability to selectively underwrite business in support of the Company's Program Services segment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120" w:after="120"/>
        <w:jc w:val="both"/>
        <w:rPr/>
      </w:pPr>
      <w:r>
        <w:rPr>
          <w:rFonts w:ascii="Times New Roman;serif" w:hAnsi="Times New Roman;serif"/>
          <w:b/>
          <w:color w:val="000000"/>
          <w:sz w:val="20"/>
        </w:rPr>
        <w:t>1.</w:t>
      </w:r>
      <w:r>
        <w:rPr>
          <w:color w:val="000000"/>
        </w:rPr>
        <w:t xml:space="preserve"> </w:t>
      </w:r>
      <w:r>
        <w:rPr>
          <w:rFonts w:ascii="Times New Roman;serif" w:hAnsi="Times New Roman;serif"/>
          <w:b/>
          <w:color w:val="000000"/>
          <w:sz w:val="20"/>
        </w:rPr>
        <w:t>Basis of Presentation (continued)</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Accounting Treatment for the Combination</w:t>
      </w:r>
    </w:p>
    <w:p>
      <w:pPr>
        <w:pStyle w:val="TextBody"/>
        <w:bidi w:val="0"/>
        <w:spacing w:lineRule="auto" w:line="240" w:before="60" w:after="120"/>
        <w:ind w:left="0" w:right="0" w:firstLine="270"/>
        <w:jc w:val="both"/>
        <w:rPr/>
      </w:pPr>
      <w:r>
        <w:rPr>
          <w:rFonts w:ascii="Times New Roman;serif" w:hAnsi="Times New Roman;serif"/>
          <w:b w:val="false"/>
          <w:color w:val="000000"/>
          <w:sz w:val="20"/>
        </w:rPr>
        <w:t xml:space="preserve">Maiden was the legal acquirer of Kestrel. However, as a result of the terms of the Combination, for accounting purposes, the transaction is treated as a reverse acquisition and accounted for using the acquisition method in accordance with ASC Topic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This determination is primarily based on the following factors: 1) the former Kestrel LLC equityholders have the ability to nominate a majority of the members of the board of directors of the combined company and 2) subsequent to consummation of the transaction, when combined with common shares held by Maiden Reinsurance, of which Luke Ledbetter (acting in his capacity as President of Maiden Reinsurance) is authorized and has the discretion to vote on behalf of Maiden Reinsurance, the former Kestrel LLC equityholders have a majority of the voting rights of the combined company. As such, Maiden is treated as the acquired company for accounting purposes.</w:t>
      </w:r>
    </w:p>
    <w:p>
      <w:pPr>
        <w:pStyle w:val="TextBody"/>
        <w:bidi w:val="0"/>
        <w:spacing w:lineRule="auto" w:line="228" w:before="0" w:after="120"/>
        <w:ind w:left="0" w:right="0" w:firstLine="270"/>
        <w:jc w:val="both"/>
        <w:rPr/>
      </w:pPr>
      <w:r>
        <w:rPr>
          <w:rFonts w:ascii="Times New Roman;serif" w:hAnsi="Times New Roman;serif"/>
          <w:b w:val="false"/>
          <w:color w:val="000000"/>
          <w:sz w:val="20"/>
        </w:rPr>
        <w:t xml:space="preserve">Accordingly, for financial reporting purposes, the net assets of Kestrel LLC are stated at historical carrying values and its condensed consolidated financial statements are presented as the predecessor to the combined company in the historical financial statements following consummation of the transaction on May 27, 2025. The assets and liabilities of Maiden are recorded at their fair values measured as of the acquisition date. Any excess of the estimated fair values of the net assets acquired over the purchase price is recorded as a gain on bargain purchase. Based on final fair values of the assets acquired and liabilities assumed, a bargain purchase gain of $68,306 was recognized in this transaction. The operating results of Maiden are only presented within the consolidated results of Kestrel from the date of acquisition going forward. Please refer to </w:t>
      </w:r>
      <w:r>
        <w:rPr>
          <w:rFonts w:ascii="Times New Roman;serif" w:hAnsi="Times New Roman;serif"/>
          <w:b w:val="false"/>
          <w:i/>
          <w:color w:val="000000"/>
          <w:sz w:val="20"/>
        </w:rPr>
        <w:t xml:space="preserve">Note 15. Business Combination </w:t>
      </w:r>
      <w:r>
        <w:rPr>
          <w:rFonts w:ascii="Times New Roman;serif" w:hAnsi="Times New Roman;serif"/>
          <w:b w:val="false"/>
          <w:color w:val="000000"/>
          <w:sz w:val="20"/>
        </w:rPr>
        <w:t>for additional details regarding the accounting treatment for the Combination.</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Program Service Operations</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Kestrel specializes in providing fronting services to insurance program managers, managing general agents (MGAs), reinsurers, and reinsurance brokers. Kestrel facilitates insurance transactions utilizing its exclusive management contracts with four insurance carriers, all of which are rated A- “Excellent” by A.M. Best. These contracts enable Kestrel LLC to offer both admitted and surplus lines in all U.S. states. Kestrel LLC generally does not assume significant underwriting risk and produces lines of business such as casualty, workers’ compensation, catastrophe-exposed property, and non-catastrophe-exposed property, with diverse risk durations, sizes, and product types.</w:t>
      </w:r>
    </w:p>
    <w:p>
      <w:pPr>
        <w:pStyle w:val="TextBody"/>
        <w:bidi w:val="0"/>
        <w:spacing w:lineRule="auto" w:line="240" w:before="60" w:after="120"/>
        <w:ind w:left="0" w:right="0" w:firstLine="270"/>
        <w:jc w:val="both"/>
        <w:rPr/>
      </w:pPr>
      <w:r>
        <w:rPr>
          <w:rFonts w:ascii="Times New Roman;serif" w:hAnsi="Times New Roman;serif"/>
          <w:b w:val="false"/>
          <w:color w:val="000000"/>
          <w:sz w:val="20"/>
        </w:rPr>
        <w:t xml:space="preserve">As noted, Kestrel continues to write business through its exclusive use of four A.M. Best A- FSC XV insurance carriers, Sierra Specialty Insurance Company, Rochdale Insurance Company, Park National Insurance Company and Republic Fire and Casualty Insurance Company (collectively, “AmTrust Insurance Companies”), all subsidiaries of AmTrust. Pursuant to the terms of the Combination Agreement, Kestrel retains the option to acquire the AmTrust Insurance Companies from AmTrust for a period of up to three years after closing of the Combination. AmTrust is a significant shareholder of Kestrel Group. Please see </w:t>
      </w:r>
      <w:r>
        <w:rPr>
          <w:rFonts w:ascii="Times New Roman;serif" w:hAnsi="Times New Roman;serif"/>
          <w:b w:val="false"/>
          <w:i/>
          <w:color w:val="000000"/>
          <w:sz w:val="20"/>
        </w:rPr>
        <w:t>Note 10. Related Party Transactions</w:t>
      </w:r>
      <w:r>
        <w:rPr>
          <w:color w:val="000000"/>
        </w:rPr>
        <w:t xml:space="preserve"> </w:t>
      </w:r>
      <w:r>
        <w:rPr>
          <w:rFonts w:ascii="Times New Roman;serif" w:hAnsi="Times New Roman;serif"/>
          <w:b w:val="false"/>
          <w:color w:val="000000"/>
          <w:sz w:val="20"/>
        </w:rPr>
        <w:t>for further information regarding the Company's relationship with AmTrust.</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Legacy Reinsurance Operations</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The Company does not presently underwrite prospective reinsurance risks but may consider selectively deploying underwriting capacity in support of the Company's program services operations to optimize shareholder returns. The Company has various historic reinsurance programs underwritten by Maiden Reinsurance which are in run-off, including liabilities associated with AmTrust reinsurance agreements which were terminated in 2019 as discussed in </w:t>
      </w:r>
      <w:r>
        <w:rPr>
          <w:rFonts w:ascii="Times New Roman;serif" w:hAnsi="Times New Roman;serif"/>
          <w:b w:val="false"/>
          <w:i/>
          <w:color w:val="000000"/>
          <w:sz w:val="20"/>
        </w:rPr>
        <w:t>Note 10. Related Party Transactions</w:t>
      </w:r>
      <w:r>
        <w:rPr>
          <w:rFonts w:ascii="Times New Roman;serif" w:hAnsi="Times New Roman;serif"/>
          <w:b w:val="false"/>
          <w:color w:val="000000"/>
          <w:sz w:val="20"/>
        </w:rPr>
        <w:t xml:space="preserve">. In addition, the Company has a retroactive reinsurance agreement and a commutation agreement that further reduces its exposure and limits the potential volatility related to AmTrust liabilities, as further discussed in </w:t>
      </w:r>
      <w:r>
        <w:rPr>
          <w:rFonts w:ascii="Times New Roman;serif" w:hAnsi="Times New Roman;serif"/>
          <w:b w:val="false"/>
          <w:i/>
          <w:color w:val="000000"/>
          <w:sz w:val="20"/>
        </w:rPr>
        <w:t>Note 8. Reinsurance</w:t>
      </w:r>
      <w:r>
        <w:rPr>
          <w:rFonts w:ascii="Times New Roman;serif" w:hAnsi="Times New Roman;serif"/>
          <w:b w:val="false"/>
          <w:color w:val="000000"/>
          <w:sz w:val="20"/>
        </w:rPr>
        <w:t xml:space="preserve">.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is also running off certain business related to its Genesis Legacy Solutions ("GLS") platform. In November 2020, Maiden formed its indirect wholly owned subsidiary GLS, which specialized in providing a full range of legacy services to small insurance entities, particularly those in run-off or with blocks of reserves that are no longer core to those companies' operations, working with clients to develop and implement finality solutions including acquiring entire companies. Having completed the capital commitment made to GLS in November 2020, Maiden did not commit any additional capital to new opportunities and continues to run-off the existing accounts underwritten by GLS. GLS continues to wind down the remaining open accounts, with one reinsurance agreement remaining open and one entity completing its run-off.</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Short-term income protection business was written on a primary basis by our wholly owned subsidiaries Maiden Life Försäkrings AB ("Maiden LF") and Maiden General Försäkrings AB ("Maiden GF") in the Scandinavian and Northern European markets. On November 29, 2024, Maiden entered into an agreement to sell Maiden LF and Maiden GF to a group of international insurance and reinsurance companies headquartered in the United Kingdom. Maiden GF and Maiden LF were the principal operating subsidiaries of the Company’s International Insurance Services (“IIS”) platform. The transaction was subject to customary regulatory approvals. In June 2025, the Swedish Financial Supervisory Authority (“SFSA”) declined to approve the sale of Maiden GF and Maiden LF. The proposed acquirer whose application was denied by the SFSA and Maiden have subsequently entered into an amended sale agreement for the acquisition of only Maiden GF at the previously agreed valuation. </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The proposed acquirer believes it will satisfactorily address the deficiencies identified by the SFSA in its June 2025 decision. This amended transaction remains subject to customary regulatory approvals. The sale of Maiden GF will be an all-cash transaction and pursuant to the proposed terms of the agreement, certain existing staff of Maiden GF will transition to the proposed acquirer. Maiden GF is not writing any new business and its non-insurance related assets and liabilities are represented as held-for-sale in our Condensed Consolidated Financial Statements. Please refer to </w:t>
      </w:r>
      <w:r>
        <w:rPr>
          <w:rFonts w:ascii="Times New Roman;serif" w:hAnsi="Times New Roman;serif"/>
          <w:b w:val="false"/>
          <w:i/>
          <w:color w:val="000000"/>
          <w:sz w:val="20"/>
        </w:rPr>
        <w:t>Note 14. Assets Held for Sale</w:t>
      </w:r>
      <w:r>
        <w:rPr>
          <w:color w:val="000000"/>
        </w:rPr>
        <w:t xml:space="preserve"> </w:t>
      </w:r>
      <w:r>
        <w:rPr>
          <w:rFonts w:ascii="Times New Roman;serif" w:hAnsi="Times New Roman;serif"/>
          <w:b w:val="false"/>
          <w:color w:val="000000"/>
          <w:sz w:val="20"/>
        </w:rPr>
        <w:t xml:space="preserve">for additional information regarding the effect of the pending sale of Maiden GF on the Company's Condensed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120" w:after="120"/>
        <w:jc w:val="both"/>
        <w:rPr/>
      </w:pPr>
      <w:r>
        <w:rPr>
          <w:rFonts w:ascii="Times New Roman;serif" w:hAnsi="Times New Roman;serif"/>
          <w:b/>
          <w:color w:val="000000"/>
          <w:sz w:val="20"/>
        </w:rPr>
        <w:t>1.</w:t>
      </w:r>
      <w:r>
        <w:rPr>
          <w:color w:val="000000"/>
        </w:rPr>
        <w:t xml:space="preserve"> </w:t>
      </w:r>
      <w:r>
        <w:rPr>
          <w:rFonts w:ascii="Times New Roman;serif" w:hAnsi="Times New Roman;serif"/>
          <w:b/>
          <w:color w:val="000000"/>
          <w:sz w:val="20"/>
        </w:rPr>
        <w:t>Basis of Presentation (continued)</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the wake of the June 2025 decision of the SFSA, management has further evaluated strategic alternatives for Maiden LF and on April 7, 2026 the Company has decided to proceed with the managed run-off of Maiden LF. The held-for-sale assets and liabilities of Maiden LF at December 31, 2025 were reclassified as held and used in light of the recent decision to place Maiden LF into run off operations.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Except as explicitly described as held for sale or as discontinued operations, and unless otherwise noted, all discussions and amounts presented herein relate to the Company's continuing operations except for net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200" w:after="120"/>
        <w:jc w:val="left"/>
        <w:rPr>
          <w:rFonts w:ascii="Times New Roman;serif" w:hAnsi="Times New Roman;serif"/>
          <w:b/>
          <w:color w:val="000000"/>
          <w:sz w:val="20"/>
        </w:rPr>
      </w:pPr>
      <w:r>
        <w:rPr>
          <w:rFonts w:ascii="Times New Roman;serif" w:hAnsi="Times New Roman;serif"/>
          <w:b/>
          <w:color w:val="000000"/>
          <w:sz w:val="20"/>
        </w:rPr>
        <w:t>2. Significant Accounting Policies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significant accounting policies as described in the Company's Annual Report on Form 10-K for the year ended December 31, 2025 other than the following:</w:t>
      </w:r>
    </w:p>
    <w:p>
      <w:pPr>
        <w:pStyle w:val="TextBody"/>
        <w:bidi w:val="0"/>
        <w:spacing w:before="0" w:after="120"/>
        <w:ind w:left="0" w:right="0" w:firstLine="270"/>
        <w:jc w:val="both"/>
        <w:rPr/>
      </w:pPr>
      <w:r>
        <w:rPr/>
      </w:r>
    </w:p>
    <w:p>
      <w:pPr>
        <w:pStyle w:val="TextBody"/>
        <w:bidi w:val="0"/>
        <w:spacing w:lineRule="auto" w:line="240" w:before="60" w:after="120"/>
        <w:jc w:val="both"/>
        <w:rPr>
          <w:rFonts w:ascii="Times New Roman;serif" w:hAnsi="Times New Roman;serif"/>
          <w:b/>
          <w:i/>
          <w:color w:val="000000"/>
          <w:sz w:val="20"/>
        </w:rPr>
      </w:pPr>
      <w:r>
        <w:rPr>
          <w:rFonts w:ascii="Times New Roman;serif" w:hAnsi="Times New Roman;serif"/>
          <w:b/>
          <w:i/>
          <w:color w:val="000000"/>
          <w:sz w:val="20"/>
        </w:rPr>
        <w:t>Recently Adopted Accounting Standards</w:t>
      </w:r>
    </w:p>
    <w:p>
      <w:pPr>
        <w:pStyle w:val="TextBody"/>
        <w:bidi w:val="0"/>
        <w:spacing w:lineRule="auto" w:line="240" w:before="60" w:after="120"/>
        <w:jc w:val="both"/>
        <w:rPr>
          <w:rFonts w:ascii="Times New Roman;serif" w:hAnsi="Times New Roman;serif"/>
          <w:b w:val="false"/>
          <w:i/>
          <w:color w:val="000000"/>
          <w:sz w:val="20"/>
        </w:rPr>
      </w:pPr>
      <w:r>
        <w:rPr>
          <w:rFonts w:ascii="Times New Roman;serif" w:hAnsi="Times New Roman;serif"/>
          <w:b w:val="false"/>
          <w:i/>
          <w:color w:val="000000"/>
          <w:sz w:val="20"/>
        </w:rPr>
        <w:t>Measurement of Credit Losses for Accounts Receivable and Contract Assets</w:t>
      </w:r>
    </w:p>
    <w:p>
      <w:pPr>
        <w:pStyle w:val="TextBody"/>
        <w:bidi w:val="0"/>
        <w:spacing w:lineRule="auto" w:line="240" w:before="60" w:after="120"/>
        <w:ind w:left="0" w:right="0" w:firstLine="270"/>
        <w:jc w:val="both"/>
        <w:rPr/>
      </w:pPr>
      <w:r>
        <w:rPr>
          <w:rFonts w:ascii="Times New Roman;serif" w:hAnsi="Times New Roman;serif"/>
          <w:b w:val="false"/>
          <w:color w:val="000000"/>
          <w:sz w:val="20"/>
        </w:rPr>
        <w:t xml:space="preserve">In July 2025, the Financial Accounting Standards Board ("FASB") issued Accounting Standards Update ("ASU") 2025-05 </w:t>
      </w:r>
      <w:r>
        <w:rPr>
          <w:rFonts w:ascii="Times New Roman;serif" w:hAnsi="Times New Roman;serif"/>
          <w:b w:val="false"/>
          <w:i/>
          <w:color w:val="000000"/>
          <w:sz w:val="20"/>
        </w:rPr>
        <w:t xml:space="preserve">Financial Instruments - Credit Losses (Topic 326): Measurement of Credit Losses for Accounts Receivable and Contract Assets. </w:t>
      </w:r>
      <w:r>
        <w:rPr>
          <w:rFonts w:ascii="Times New Roman;serif" w:hAnsi="Times New Roman;serif"/>
          <w:b w:val="false"/>
          <w:color w:val="000000"/>
          <w:sz w:val="20"/>
        </w:rPr>
        <w:t xml:space="preserve">The amendments in this ASU affect entities that apply the practical expedient and accounting policy election when estimating expected credit losses on current accounts receivable and/or current contract assets arising from transactions under Topic 606, including those assets acquired in a transaction accounted for under </w:t>
      </w:r>
      <w:r>
        <w:rPr>
          <w:rFonts w:ascii="Times New Roman;serif" w:hAnsi="Times New Roman;serif"/>
          <w:b w:val="false"/>
          <w:i/>
          <w:color w:val="000000"/>
          <w:sz w:val="20"/>
        </w:rPr>
        <w:t>Topic 805, Business Combinations.</w:t>
      </w:r>
      <w:r>
        <w:rPr>
          <w:color w:val="000000"/>
        </w:rPr>
        <w:t xml:space="preserve"> </w:t>
      </w:r>
      <w:r>
        <w:rPr>
          <w:rFonts w:ascii="Times New Roman;serif" w:hAnsi="Times New Roman;serif"/>
          <w:b w:val="false"/>
          <w:color w:val="000000"/>
          <w:sz w:val="20"/>
        </w:rPr>
        <w:t>The amendments in this ASU provide as follows:</w:t>
      </w:r>
    </w:p>
    <w:p>
      <w:pPr>
        <w:pStyle w:val="TextBody"/>
        <w:bidi w:val="0"/>
        <w:spacing w:lineRule="auto" w:line="240" w:before="60" w:after="120"/>
        <w:ind w:left="0" w:right="0" w:firstLine="270"/>
        <w:jc w:val="both"/>
        <w:rPr/>
      </w:pPr>
      <w:r>
        <w:rPr>
          <w:rFonts w:ascii="Times New Roman;serif" w:hAnsi="Times New Roman;serif"/>
          <w:b w:val="false"/>
          <w:color w:val="000000"/>
          <w:sz w:val="20"/>
        </w:rPr>
        <w:t>1.</w:t>
      </w:r>
      <w:r>
        <w:rPr>
          <w:rFonts w:ascii="Times New Roman;serif" w:hAnsi="Times New Roman;serif"/>
          <w:b w:val="false"/>
          <w:i/>
          <w:color w:val="000000"/>
          <w:sz w:val="20"/>
        </w:rPr>
        <w:t>A practical expedient.</w:t>
      </w:r>
      <w:r>
        <w:rPr>
          <w:color w:val="000000"/>
        </w:rPr>
        <w:t xml:space="preserve"> </w:t>
      </w:r>
      <w:r>
        <w:rPr>
          <w:rFonts w:ascii="Times New Roman;serif" w:hAnsi="Times New Roman;serif"/>
          <w:b w:val="false"/>
          <w:color w:val="000000"/>
          <w:sz w:val="20"/>
        </w:rPr>
        <w:t xml:space="preserve">In developing reasonable and supportable forecasts as part of estimating expected credit losses, all entities may elect a practical expedient that assumes that current conditions as of the balance sheet date do not change for the remaining life of the asset. </w:t>
      </w:r>
    </w:p>
    <w:p>
      <w:pPr>
        <w:pStyle w:val="TextBody"/>
        <w:bidi w:val="0"/>
        <w:spacing w:lineRule="auto" w:line="240" w:before="60" w:after="120"/>
        <w:ind w:left="0" w:right="0" w:firstLine="270"/>
        <w:jc w:val="both"/>
        <w:rPr/>
      </w:pPr>
      <w:r>
        <w:rPr>
          <w:rFonts w:ascii="Times New Roman;serif" w:hAnsi="Times New Roman;serif"/>
          <w:b w:val="false"/>
          <w:color w:val="000000"/>
          <w:sz w:val="20"/>
        </w:rPr>
        <w:t>2.</w:t>
      </w:r>
      <w:r>
        <w:rPr>
          <w:rFonts w:ascii="Times New Roman;serif" w:hAnsi="Times New Roman;serif"/>
          <w:b w:val="false"/>
          <w:i/>
          <w:color w:val="000000"/>
          <w:sz w:val="20"/>
        </w:rPr>
        <w:t>Accounting policy election.</w:t>
      </w:r>
      <w:r>
        <w:rPr>
          <w:color w:val="000000"/>
        </w:rPr>
        <w:t xml:space="preserve"> </w:t>
      </w:r>
      <w:r>
        <w:rPr>
          <w:rFonts w:ascii="Times New Roman;serif" w:hAnsi="Times New Roman;serif"/>
          <w:b w:val="false"/>
          <w:color w:val="000000"/>
          <w:sz w:val="20"/>
        </w:rPr>
        <w:t>An entity other than a public business entity that elects the practical expedient is permitted to make an accounting policy election to consider collection activity after the balance sheet date when estimating expected credit losses.</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amendments were effective for annual reporting periods beginning after December 15, 2025, and interim reporting periods within those annual reporting periods. The Company adopted ASU 2025-05 on January 1, 2026, and did not experience significant changes to its previous method of estimating expected credit losses on accounts receivable upon adoption.</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Recently Issued Accounting Standards Not Yet Adopted</w:t>
      </w:r>
    </w:p>
    <w:p>
      <w:pPr>
        <w:pStyle w:val="TextBody"/>
        <w:bidi w:val="0"/>
        <w:spacing w:lineRule="auto" w:line="240" w:before="0" w:after="120"/>
        <w:jc w:val="both"/>
        <w:rPr>
          <w:rFonts w:ascii="Times New Roman;serif" w:hAnsi="Times New Roman;serif"/>
          <w:b w:val="false"/>
          <w:i/>
          <w:color w:val="000000"/>
          <w:sz w:val="20"/>
        </w:rPr>
      </w:pPr>
      <w:r>
        <w:rPr>
          <w:rFonts w:ascii="Times New Roman;serif" w:hAnsi="Times New Roman;serif"/>
          <w:b w:val="false"/>
          <w:i/>
          <w:color w:val="000000"/>
          <w:sz w:val="20"/>
        </w:rPr>
        <w:t>Expense Disaggregation Disclosures</w:t>
      </w:r>
    </w:p>
    <w:p>
      <w:pPr>
        <w:pStyle w:val="TextBody"/>
        <w:bidi w:val="0"/>
        <w:spacing w:lineRule="auto" w:line="244" w:before="0" w:after="120"/>
        <w:ind w:left="0" w:right="0" w:firstLine="270"/>
        <w:jc w:val="both"/>
        <w:rPr/>
      </w:pPr>
      <w:r>
        <w:rPr>
          <w:rFonts w:ascii="Times New Roman;serif" w:hAnsi="Times New Roman;serif"/>
          <w:b w:val="false"/>
          <w:color w:val="000000"/>
          <w:sz w:val="20"/>
        </w:rPr>
        <w:t xml:space="preserve">In November 2024, FASB issued ASU 2024-03 </w:t>
      </w:r>
      <w:r>
        <w:rPr>
          <w:rFonts w:ascii="Times New Roman;serif" w:hAnsi="Times New Roman;serif"/>
          <w:b w:val="false"/>
          <w:i/>
          <w:color w:val="000000"/>
          <w:sz w:val="20"/>
        </w:rPr>
        <w:t>"Expense Disaggregation Disclosures"</w:t>
      </w:r>
      <w:r>
        <w:rPr>
          <w:color w:val="000000"/>
        </w:rPr>
        <w:t xml:space="preserve"> </w:t>
      </w:r>
      <w:r>
        <w:rPr>
          <w:rFonts w:ascii="Times New Roman;serif" w:hAnsi="Times New Roman;serif"/>
          <w:b w:val="false"/>
          <w:color w:val="000000"/>
          <w:sz w:val="20"/>
        </w:rPr>
        <w:t xml:space="preserve">an amendment of Income Statement - Reporting Comprehensive Income (Subtopic 220-40). The amendments in this Update improve financial reporting by requiring that public business entities disclose additional information about specific expense categories in the notes to financial statements at interim and annual reporting periods which is generally not presented in today's income statements. In particular, all public companies must disclose the amounts of (a) purchases of inventory, (b) employee compensation, (c) depreciation, and (d) intangible asset amortization that is included in each relevant expense caption. </w:t>
      </w:r>
    </w:p>
    <w:p>
      <w:pPr>
        <w:pStyle w:val="TextBody"/>
        <w:bidi w:val="0"/>
        <w:spacing w:lineRule="auto" w:line="244" w:before="0" w:after="120"/>
        <w:ind w:left="0" w:right="0" w:firstLine="270"/>
        <w:jc w:val="both"/>
        <w:rPr/>
      </w:pPr>
      <w:r>
        <w:rPr>
          <w:rFonts w:ascii="Times New Roman;serif" w:hAnsi="Times New Roman;serif"/>
          <w:b w:val="false"/>
          <w:color w:val="000000"/>
          <w:sz w:val="20"/>
        </w:rPr>
        <w:t xml:space="preserve">The amendments in this ASU are effective for annual reporting periods beginning after December 15, 2026, and interim reporting periods beginning after December 15, 2027. The amendments in this ASU should be applied either (1) prospectively to financial statements issued for reporting periods after the effective date of this Update or (2) retrospectively to any or all prior periods presented in the financial statements. The Company does not plan to early adopt ASU 2024-03 and will provide the required expense disclosures on a prospective basis. At this time, the Company anticipates that further expense information on employee compensation will be the primary requirement under this ASU. The Company already provides disclosures regarding intangible asset amortization in </w:t>
      </w:r>
      <w:r>
        <w:rPr>
          <w:rFonts w:ascii="Times New Roman;serif" w:hAnsi="Times New Roman;serif"/>
          <w:b w:val="false"/>
          <w:i/>
          <w:color w:val="000000"/>
          <w:sz w:val="20"/>
        </w:rPr>
        <w:t>Note 15. Business Combination.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200" w:after="120"/>
        <w:jc w:val="left"/>
        <w:rPr>
          <w:rFonts w:ascii="Times New Roman;serif" w:hAnsi="Times New Roman;serif"/>
          <w:b/>
          <w:color w:val="000000"/>
          <w:sz w:val="20"/>
        </w:rPr>
      </w:pPr>
      <w:r>
        <w:rPr>
          <w:rFonts w:ascii="Times New Roman;serif" w:hAnsi="Times New Roman;serif"/>
          <w:b/>
          <w:color w:val="000000"/>
          <w:sz w:val="20"/>
        </w:rPr>
        <w:t xml:space="preserve">3. Segment Information </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Company's recently completed Combination, Kestrel has two reportable segments: Program Services segment and the Legacy Reinsurance segment. Our Program Services reportable segment consists of a cohesive suite of fronting services that are integrated and interdependent. This revenue stream is highly concentrated due to capacity distribution agreements with an individual customer. Capacity distribution fees are collected from program managers or MGAs for providing support services and granting contractual access to our insurance carrier network and are considered a single performance obligation. Support services provided for these insurance and reinsurance brokerage arrangements include compliance and regulatory reporting and administrative support which culminate in the placement of bound insurance coverage. Kestrel considers these arrangements a single revenue stream. </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Our Legacy Reinsurance reportable segment consists of the AmTrust Reinsurance and Diversified Reinsurance segments previously reported by Maiden prior to the Combination with Kestrel. The AmTrust portion of this reportable segment includes all business ceded to Maiden Reinsurance by AmTrust, primarily the quota share reinsurance agreement (“AmTrust Quota Share”) between Maiden Reinsurance and AmTrust’s wholly owned subsidiary, AmTrust International Insurance, Ltd. (“AII”) and the European hospital liability quota share reinsurance contract ("European Hospital Liability Quota Share") with AmTrust’s wholly owned subsidiaries, AmTrust Europe Limited ("AEL") and AmTrust International Underwriters DAC ("AIU DAC"), which are both in run-off effective January 1, 2019. Please refer to </w:t>
      </w:r>
      <w:r>
        <w:rPr>
          <w:rFonts w:ascii="Times New Roman;serif" w:hAnsi="Times New Roman;serif"/>
          <w:b w:val="false"/>
          <w:i/>
          <w:color w:val="000000"/>
          <w:sz w:val="20"/>
        </w:rPr>
        <w:t>Note 10. Related Party Transactions</w:t>
      </w:r>
      <w:r>
        <w:rPr>
          <w:color w:val="000000"/>
        </w:rPr>
        <w:t xml:space="preserve"> </w:t>
      </w:r>
      <w:r>
        <w:rPr>
          <w:rFonts w:ascii="Times New Roman;serif" w:hAnsi="Times New Roman;serif"/>
          <w:b w:val="false"/>
          <w:color w:val="000000"/>
          <w:sz w:val="20"/>
        </w:rPr>
        <w:t xml:space="preserve">for additional information regarding these agreements. The Diversified Reinsurance portion of this reportable segment consists of a run-off portfolio of predominantly third-party property and casualty reinsurance business focusing on regional and specialty property and casualty insurance companies located primarily in Europe, including business produced by Maiden LF and Maiden GF along with transactions entered into by GLS as described in </w:t>
      </w:r>
      <w:r>
        <w:rPr>
          <w:rFonts w:ascii="Times New Roman;serif" w:hAnsi="Times New Roman;serif"/>
          <w:b w:val="false"/>
          <w:i/>
          <w:color w:val="000000"/>
          <w:sz w:val="20"/>
        </w:rPr>
        <w:t xml:space="preserve">Note 1. Basis of Presentation </w:t>
      </w:r>
      <w:r>
        <w:rPr>
          <w:rFonts w:ascii="Times New Roman;serif" w:hAnsi="Times New Roman;serif"/>
          <w:b w:val="false"/>
          <w:color w:val="000000"/>
          <w:sz w:val="20"/>
        </w:rPr>
        <w:t xml:space="preserve">under </w:t>
      </w:r>
      <w:r>
        <w:rPr>
          <w:rFonts w:ascii="Times New Roman;serif" w:hAnsi="Times New Roman;serif"/>
          <w:b w:val="false"/>
          <w:i/>
          <w:color w:val="000000"/>
          <w:sz w:val="20"/>
        </w:rPr>
        <w:t>Legacy Reinsurance Operations.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evaluates segment performance based on segment profit separately from results of our investment portfolio. Underwriting and fee income or loss is calculated as net premiums earned plus fee revenue less net loss and loss adjustment expenses ("LAE"), commission and other acquisition expenses. General and administrative expenses are allocated to the segments on an actual basis except salaries and benefits where management’s judgment is applied; however, general corporate expenses are not allocated to the reportable segments. In determining total assets by reportable segment, the Company identifies those assets that are attributable to a particular segment such as reinsurance balances receivable, reinsurance recoverable on unpaid losses, funds withheld receivable, net loan receivable from related party, intangible assets, certain other assets and restricted cash and investments. All remaining assets are allocated to Corporate.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Kestrel’s chief operating decision maker ("CODM") is the Company's Chief Executive Officer, for both the Program Services segment and the Legacy Reinsurance segment. The significant segment expenses as reported in the computation of underwriting results in the tables below are used by the Company's CODM in assessing segment performance on a quarterly basis and supports their decision on how to allocate resources within the Company, primarily with regard to the Company's Program Services segment, which is the Company's active and most strategically important operating segment.</w:t>
      </w:r>
    </w:p>
    <w:p>
      <w:pPr>
        <w:pStyle w:val="TextBody"/>
        <w:bidi w:val="0"/>
        <w:spacing w:before="0" w:after="12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3. Segment Information (continued)</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the results of our reportable segments and the reconciliation of our reportable segments' results to the condensed consolidated net loss from continuing operations for the three months ended March 31, 2026 and 2025, respectively: </w:t>
      </w:r>
    </w:p>
    <w:tbl>
      <w:tblPr>
        <w:tblW w:w="10205" w:type="dxa"/>
        <w:jc w:val="center"/>
        <w:tblInd w:w="0" w:type="dxa"/>
        <w:tblLayout w:type="fixed"/>
        <w:tblCellMar>
          <w:top w:w="28" w:type="dxa"/>
          <w:left w:w="28" w:type="dxa"/>
          <w:bottom w:w="28" w:type="dxa"/>
          <w:right w:w="28" w:type="dxa"/>
        </w:tblCellMar>
      </w:tblPr>
      <w:tblGrid>
        <w:gridCol w:w="1883"/>
        <w:gridCol w:w="1553"/>
        <w:gridCol w:w="1568"/>
        <w:gridCol w:w="109"/>
        <w:gridCol w:w="109"/>
        <w:gridCol w:w="109"/>
        <w:gridCol w:w="109"/>
        <w:gridCol w:w="109"/>
        <w:gridCol w:w="109"/>
        <w:gridCol w:w="109"/>
        <w:gridCol w:w="301"/>
        <w:gridCol w:w="983"/>
        <w:gridCol w:w="155"/>
        <w:gridCol w:w="109"/>
        <w:gridCol w:w="109"/>
        <w:gridCol w:w="109"/>
        <w:gridCol w:w="292"/>
        <w:gridCol w:w="855"/>
        <w:gridCol w:w="150"/>
        <w:gridCol w:w="109"/>
        <w:gridCol w:w="109"/>
        <w:gridCol w:w="109"/>
        <w:gridCol w:w="211"/>
        <w:gridCol w:w="678"/>
        <w:gridCol w:w="159"/>
      </w:tblGrid>
      <w:tr>
        <w:trPr/>
        <w:tc>
          <w:tcPr>
            <w:tcW w:w="1883"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Legacy Reinsurance</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Program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5004"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2,655 </w:t>
            </w:r>
          </w:p>
        </w:tc>
        <w:tc>
          <w:tcPr>
            <w:tcW w:w="15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2,655 </w:t>
            </w:r>
          </w:p>
        </w:tc>
        <w:tc>
          <w:tcPr>
            <w:tcW w:w="15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3,157 </w:t>
            </w:r>
          </w:p>
        </w:tc>
        <w:tc>
          <w:tcPr>
            <w:tcW w:w="15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3,157 </w:t>
            </w:r>
          </w:p>
        </w:tc>
        <w:tc>
          <w:tcPr>
            <w:tcW w:w="15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Fee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500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LAE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w:t>
            </w:r>
          </w:p>
        </w:tc>
        <w:tc>
          <w:tcPr>
            <w:tcW w:w="15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Commission and other acquisition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w:t>
            </w:r>
          </w:p>
        </w:tc>
        <w:tc>
          <w:tcPr>
            <w:tcW w:w="15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w:t>
            </w:r>
          </w:p>
        </w:tc>
        <w:tc>
          <w:tcPr>
            <w:tcW w:w="15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(4,225)</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Underwriting loss and fee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i/>
                <w:color w:val="000000"/>
                <w:sz w:val="20"/>
              </w:rPr>
            </w:pPr>
            <w:r>
              <w:rPr>
                <w:rFonts w:ascii="Times New Roman;serif" w:hAnsi="Times New Roman;serif"/>
                <w:b/>
                <w:i/>
                <w:color w:val="000000"/>
                <w:sz w:val="20"/>
              </w:rPr>
              <w:t>Reconciliation to net loss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investment income and net realized and unrealized investment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500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Interest and amortization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(3,896)</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5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5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Foreign exchange and other gains,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Other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(7,518)</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Interest in loss of equity method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(6,953)</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5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5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5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5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5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both"/>
        <w:rPr/>
      </w:pPr>
      <w:r>
        <w:rPr/>
      </w:r>
    </w:p>
    <w:tbl>
      <w:tblPr>
        <w:tblW w:w="9806" w:type="dxa"/>
        <w:jc w:val="center"/>
        <w:tblInd w:w="0" w:type="dxa"/>
        <w:tblLayout w:type="fixed"/>
        <w:tblCellMar>
          <w:top w:w="28" w:type="dxa"/>
          <w:left w:w="28" w:type="dxa"/>
          <w:bottom w:w="28" w:type="dxa"/>
          <w:right w:w="28" w:type="dxa"/>
        </w:tblCellMar>
      </w:tblPr>
      <w:tblGrid>
        <w:gridCol w:w="1638"/>
        <w:gridCol w:w="1439"/>
        <w:gridCol w:w="1453"/>
        <w:gridCol w:w="109"/>
        <w:gridCol w:w="109"/>
        <w:gridCol w:w="109"/>
        <w:gridCol w:w="109"/>
        <w:gridCol w:w="109"/>
        <w:gridCol w:w="109"/>
        <w:gridCol w:w="109"/>
        <w:gridCol w:w="453"/>
        <w:gridCol w:w="872"/>
        <w:gridCol w:w="234"/>
        <w:gridCol w:w="109"/>
        <w:gridCol w:w="109"/>
        <w:gridCol w:w="109"/>
        <w:gridCol w:w="374"/>
        <w:gridCol w:w="827"/>
        <w:gridCol w:w="193"/>
        <w:gridCol w:w="109"/>
        <w:gridCol w:w="109"/>
        <w:gridCol w:w="109"/>
        <w:gridCol w:w="211"/>
        <w:gridCol w:w="541"/>
        <w:gridCol w:w="154"/>
      </w:tblGrid>
      <w:tr>
        <w:trPr/>
        <w:tc>
          <w:tcPr>
            <w:tcW w:w="1638"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Legacy Reinsurance</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Program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Fee revenue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93"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Fee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93"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i/>
                <w:color w:val="000000"/>
                <w:sz w:val="20"/>
              </w:rPr>
            </w:pPr>
            <w:r>
              <w:rPr>
                <w:rFonts w:ascii="Times New Roman;serif" w:hAnsi="Times New Roman;serif"/>
                <w:b/>
                <w:i/>
                <w:color w:val="000000"/>
                <w:sz w:val="20"/>
              </w:rPr>
              <w:t>Reconciliation to net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investment income </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Other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pStyle w:val="TextBody"/>
        <w:bidi w:val="0"/>
        <w:spacing w:before="0" w:after="0"/>
        <w:ind w:left="0" w:right="0" w:firstLine="270"/>
        <w:jc w:val="both"/>
        <w:rPr/>
      </w:pPr>
      <w:r>
        <w:rPr/>
      </w:r>
    </w:p>
    <w:p>
      <w:pPr>
        <w:pStyle w:val="TextBody"/>
        <w:bidi w:val="0"/>
        <w:spacing w:before="0" w:after="120"/>
        <w:jc w:val="both"/>
        <w:rPr/>
      </w:pPr>
      <w:r>
        <w:rPr/>
      </w:r>
    </w:p>
    <w:p>
      <w:pPr>
        <w:pStyle w:val="TextBody"/>
        <w:bidi w:val="0"/>
        <w:spacing w:before="0" w:after="0"/>
        <w:jc w:val="left"/>
        <w:rPr/>
      </w:pPr>
      <w:r>
        <w:rPr/>
      </w:r>
    </w:p>
    <w:tbl>
      <w:tblPr>
        <w:tblW w:w="8436" w:type="dxa"/>
        <w:jc w:val="center"/>
        <w:tblInd w:w="0" w:type="dxa"/>
        <w:tblLayout w:type="fixed"/>
        <w:tblCellMar>
          <w:top w:w="28" w:type="dxa"/>
          <w:left w:w="28" w:type="dxa"/>
          <w:bottom w:w="28" w:type="dxa"/>
          <w:right w:w="28" w:type="dxa"/>
        </w:tblCellMar>
      </w:tblPr>
      <w:tblGrid>
        <w:gridCol w:w="1231"/>
        <w:gridCol w:w="1082"/>
        <w:gridCol w:w="1092"/>
        <w:gridCol w:w="109"/>
        <w:gridCol w:w="109"/>
        <w:gridCol w:w="109"/>
        <w:gridCol w:w="109"/>
        <w:gridCol w:w="109"/>
        <w:gridCol w:w="109"/>
        <w:gridCol w:w="109"/>
        <w:gridCol w:w="559"/>
        <w:gridCol w:w="559"/>
        <w:gridCol w:w="561"/>
        <w:gridCol w:w="109"/>
        <w:gridCol w:w="109"/>
        <w:gridCol w:w="109"/>
        <w:gridCol w:w="464"/>
        <w:gridCol w:w="464"/>
        <w:gridCol w:w="466"/>
        <w:gridCol w:w="109"/>
        <w:gridCol w:w="109"/>
        <w:gridCol w:w="109"/>
        <w:gridCol w:w="158"/>
        <w:gridCol w:w="158"/>
        <w:gridCol w:w="225"/>
      </w:tblGrid>
      <w:tr>
        <w:trPr/>
        <w:tc>
          <w:tcPr>
            <w:tcW w:w="1231"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16"/>
              </w:rPr>
            </w:pPr>
            <w:r>
              <w:rPr>
                <w:rFonts w:ascii="Times New Roman;serif" w:hAnsi="Times New Roman;serif"/>
                <w:b/>
                <w:color w:val="FFFFFF"/>
                <w:sz w:val="16"/>
              </w:rPr>
              <w:t>For the 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FFFFFF"/>
                <w:sz w:val="16"/>
              </w:rPr>
              <w:t>Legacy Reinsurance</w:t>
            </w:r>
            <w:r>
              <w:rPr>
                <w:rFonts w:ascii="Times New Roman;serif" w:hAnsi="Times New Roman;serif"/>
                <w:b/>
                <w:color w:val="FFFFFF"/>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Program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Total</w:t>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both"/>
        <w:rPr/>
      </w:pPr>
      <w:r>
        <w:rPr/>
      </w:r>
    </w:p>
    <w:p>
      <w:pPr>
        <w:pStyle w:val="TextBody"/>
        <w:bidi w:val="0"/>
        <w:spacing w:before="0" w:after="0"/>
        <w:jc w:val="both"/>
        <w:rPr/>
      </w:pPr>
      <w:r>
        <w:rPr/>
      </w:r>
    </w:p>
    <w:tbl>
      <w:tblPr>
        <w:tblW w:w="8316" w:type="dxa"/>
        <w:jc w:val="center"/>
        <w:tblInd w:w="0" w:type="dxa"/>
        <w:tblLayout w:type="fixed"/>
        <w:tblCellMar>
          <w:top w:w="28" w:type="dxa"/>
          <w:left w:w="28" w:type="dxa"/>
          <w:bottom w:w="28" w:type="dxa"/>
          <w:right w:w="28" w:type="dxa"/>
        </w:tblCellMar>
      </w:tblPr>
      <w:tblGrid>
        <w:gridCol w:w="1231"/>
        <w:gridCol w:w="1082"/>
        <w:gridCol w:w="1092"/>
        <w:gridCol w:w="109"/>
        <w:gridCol w:w="109"/>
        <w:gridCol w:w="109"/>
        <w:gridCol w:w="109"/>
        <w:gridCol w:w="109"/>
        <w:gridCol w:w="109"/>
        <w:gridCol w:w="109"/>
        <w:gridCol w:w="519"/>
        <w:gridCol w:w="519"/>
        <w:gridCol w:w="521"/>
        <w:gridCol w:w="109"/>
        <w:gridCol w:w="109"/>
        <w:gridCol w:w="109"/>
        <w:gridCol w:w="464"/>
        <w:gridCol w:w="464"/>
        <w:gridCol w:w="466"/>
        <w:gridCol w:w="109"/>
        <w:gridCol w:w="109"/>
        <w:gridCol w:w="109"/>
        <w:gridCol w:w="158"/>
        <w:gridCol w:w="158"/>
        <w:gridCol w:w="225"/>
      </w:tblGrid>
      <w:tr>
        <w:trPr/>
        <w:tc>
          <w:tcPr>
            <w:tcW w:w="1231"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16"/>
              </w:rPr>
            </w:pPr>
            <w:r>
              <w:rPr>
                <w:rFonts w:ascii="Times New Roman;serif" w:hAnsi="Times New Roman;serif"/>
                <w:b/>
                <w:color w:val="FFFFFF"/>
                <w:sz w:val="16"/>
              </w:rPr>
              <w:t>For the 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Legacy Reinsurance</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Program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Total</w:t>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3. Segment Information (continued)</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financial position of the Company's reportable segments including a reconciliation to the Company's condensed consolidated total assets at March 31, 2026 and December 31, 2025:</w:t>
      </w:r>
    </w:p>
    <w:tbl>
      <w:tblPr>
        <w:tblW w:w="9507" w:type="dxa"/>
        <w:jc w:val="center"/>
        <w:tblInd w:w="0" w:type="dxa"/>
        <w:tblLayout w:type="fixed"/>
        <w:tblCellMar>
          <w:top w:w="28" w:type="dxa"/>
          <w:left w:w="28" w:type="dxa"/>
          <w:bottom w:w="28" w:type="dxa"/>
          <w:right w:w="28" w:type="dxa"/>
        </w:tblCellMar>
      </w:tblPr>
      <w:tblGrid>
        <w:gridCol w:w="1370"/>
        <w:gridCol w:w="1206"/>
        <w:gridCol w:w="1218"/>
        <w:gridCol w:w="109"/>
        <w:gridCol w:w="109"/>
        <w:gridCol w:w="109"/>
        <w:gridCol w:w="109"/>
        <w:gridCol w:w="109"/>
        <w:gridCol w:w="109"/>
        <w:gridCol w:w="109"/>
        <w:gridCol w:w="287"/>
        <w:gridCol w:w="1125"/>
        <w:gridCol w:w="148"/>
        <w:gridCol w:w="109"/>
        <w:gridCol w:w="109"/>
        <w:gridCol w:w="109"/>
        <w:gridCol w:w="314"/>
        <w:gridCol w:w="919"/>
        <w:gridCol w:w="162"/>
        <w:gridCol w:w="109"/>
        <w:gridCol w:w="109"/>
        <w:gridCol w:w="109"/>
        <w:gridCol w:w="211"/>
        <w:gridCol w:w="976"/>
        <w:gridCol w:w="154"/>
      </w:tblGrid>
      <w:tr>
        <w:trPr/>
        <w:tc>
          <w:tcPr>
            <w:tcW w:w="137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Legacy Reinsurance</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Program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794"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Reinsurance balances receivable, net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4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Reinsurance recoverable on unpaid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436,381 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379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loan receivable from related party</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78,606 </w:t>
            </w:r>
          </w:p>
        </w:tc>
        <w:tc>
          <w:tcPr>
            <w:tcW w:w="14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78,606 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and cash equivalents and investments</w:t>
            </w:r>
            <w:r>
              <w:rPr>
                <w:rFonts w:ascii="Times New Roman;serif" w:hAnsi="Times New Roman;serif"/>
                <w:b w:val="false"/>
                <w:color w:val="000000"/>
                <w:sz w:val="13"/>
              </w:rPr>
              <w:t>(1)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159,503 </w:t>
            </w:r>
          </w:p>
        </w:tc>
        <w:tc>
          <w:tcPr>
            <w:tcW w:w="14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2,588 </w:t>
            </w:r>
          </w:p>
        </w:tc>
        <w:tc>
          <w:tcPr>
            <w:tcW w:w="16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162,091 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Funds withheld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val="false"/>
                <w:color w:val="000000"/>
                <w:sz w:val="20"/>
              </w:rPr>
              <w:t>Other assets</w:t>
            </w:r>
            <w:r>
              <w:rPr>
                <w:rFonts w:ascii="Times New Roman;serif" w:hAnsi="Times New Roman;serif"/>
                <w:b w:val="false"/>
                <w:color w:val="000000"/>
                <w:sz w:val="13"/>
              </w:rPr>
              <w:t>(2)</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4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3,135 </w:t>
            </w:r>
          </w:p>
        </w:tc>
        <w:tc>
          <w:tcPr>
            <w:tcW w:w="16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Total assets - reportable segments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691,347 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697,070 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Corporate assets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258,227 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691,347 </w:t>
            </w:r>
          </w:p>
        </w:tc>
        <w:tc>
          <w:tcPr>
            <w:tcW w:w="14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5,723 </w:t>
            </w:r>
          </w:p>
        </w:tc>
        <w:tc>
          <w:tcPr>
            <w:tcW w:w="16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964,227 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Legacy Reinsurance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Program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794"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Reinsurance balances receivable, net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48"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54"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Reinsurance recoverable on unpaid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461,197 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461,197 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Loan to related party</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86,883 </w:t>
            </w:r>
          </w:p>
        </w:tc>
        <w:tc>
          <w:tcPr>
            <w:tcW w:w="14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86,883 </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and cash equivalents and investments</w:t>
            </w:r>
            <w:r>
              <w:rPr>
                <w:rFonts w:ascii="Times New Roman;serif" w:hAnsi="Times New Roman;serif"/>
                <w:b w:val="false"/>
                <w:color w:val="000000"/>
                <w:sz w:val="13"/>
              </w:rPr>
              <w:t>(1)</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163,767 </w:t>
            </w:r>
          </w:p>
        </w:tc>
        <w:tc>
          <w:tcPr>
            <w:tcW w:w="14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3,165 </w:t>
            </w:r>
          </w:p>
        </w:tc>
        <w:tc>
          <w:tcPr>
            <w:tcW w:w="16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166,932 </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Funds withheld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val="false"/>
                <w:color w:val="000000"/>
                <w:sz w:val="20"/>
              </w:rPr>
              <w:t>Other assets</w:t>
            </w:r>
            <w:r>
              <w:rPr>
                <w:rFonts w:ascii="Times New Roman;serif" w:hAnsi="Times New Roman;serif"/>
                <w:b w:val="false"/>
                <w:color w:val="000000"/>
                <w:sz w:val="13"/>
              </w:rPr>
              <w:t>(2)</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4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2,477 </w:t>
            </w:r>
          </w:p>
        </w:tc>
        <w:tc>
          <w:tcPr>
            <w:tcW w:w="16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2,704 </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Total assets - reportable segments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733,101 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738,743 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Corporate assets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261,406 </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733,101 </w:t>
            </w:r>
          </w:p>
        </w:tc>
        <w:tc>
          <w:tcPr>
            <w:tcW w:w="148"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5,642 </w:t>
            </w:r>
          </w:p>
        </w:tc>
        <w:tc>
          <w:tcPr>
            <w:tcW w:w="162"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1,009,955 </w:t>
            </w:r>
          </w:p>
        </w:tc>
        <w:tc>
          <w:tcPr>
            <w:tcW w:w="154"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120"/>
        <w:ind w:left="0" w:right="0" w:hanging="360"/>
        <w:jc w:val="both"/>
        <w:rPr/>
      </w:pPr>
      <w:r>
        <w:rPr>
          <w:rFonts w:ascii="Aptos;sans-serif" w:hAnsi="Aptos;sans-serif"/>
          <w:b w:val="false"/>
          <w:color w:val="000000"/>
          <w:sz w:val="16"/>
        </w:rPr>
        <w:t>1.</w:t>
      </w:r>
      <w:r>
        <w:rPr>
          <w:rFonts w:ascii="Times New Roman;serif" w:hAnsi="Times New Roman;serif"/>
          <w:b w:val="false"/>
          <w:color w:val="000000"/>
          <w:sz w:val="16"/>
        </w:rPr>
        <w:t xml:space="preserve">Cash &amp; investments for the Legacy Reinsurance segment are restricted as discussed in Note 4(e). The Company is required to provide collateral for its reinsurance liabilities under various legacy reinsurance agreements and utilizes trust accounts to collateralize business with reinsurance counterparties. The assets in trust as collateral are primarily cash and highly rated fixed maturities. </w:t>
      </w:r>
    </w:p>
    <w:p>
      <w:pPr>
        <w:pStyle w:val="TextBody"/>
        <w:bidi w:val="0"/>
        <w:spacing w:lineRule="auto" w:line="26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2.Other assets for the Program Services segment is entirely comprised of Program fee receivables related to written premiums that are still unpaid at the reporting date. Unpaid amounts are generally paid with 30-60 days after inception of the policy unless the program allows for premiums to be paid on installments. Other assets also includes estimated amounts due from Programs when there is a contractual lag in reporting from the balance sheet date. </w:t>
      </w:r>
    </w:p>
    <w:p>
      <w:pPr>
        <w:pStyle w:val="TextBody"/>
        <w:bidi w:val="0"/>
        <w:spacing w:lineRule="auto" w:line="240"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financial information relating to net premiums written by major line of business within the Legacy Reinsurance segment for the three months ended March 31, 2026 are detailed below: </w:t>
      </w:r>
    </w:p>
    <w:tbl>
      <w:tblPr>
        <w:tblW w:w="4962" w:type="dxa"/>
        <w:jc w:val="center"/>
        <w:tblInd w:w="0" w:type="dxa"/>
        <w:tblLayout w:type="fixed"/>
        <w:tblCellMar>
          <w:top w:w="28" w:type="dxa"/>
          <w:left w:w="28" w:type="dxa"/>
          <w:bottom w:w="28" w:type="dxa"/>
          <w:right w:w="28" w:type="dxa"/>
        </w:tblCellMar>
      </w:tblPr>
      <w:tblGrid>
        <w:gridCol w:w="1085"/>
        <w:gridCol w:w="953"/>
        <w:gridCol w:w="962"/>
        <w:gridCol w:w="109"/>
        <w:gridCol w:w="109"/>
        <w:gridCol w:w="109"/>
        <w:gridCol w:w="211"/>
        <w:gridCol w:w="616"/>
        <w:gridCol w:w="109"/>
        <w:gridCol w:w="109"/>
        <w:gridCol w:w="109"/>
        <w:gridCol w:w="109"/>
        <w:gridCol w:w="109"/>
        <w:gridCol w:w="109"/>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i/>
                <w:color w:val="000000"/>
                <w:sz w:val="20"/>
              </w:rPr>
            </w:pPr>
            <w:r>
              <w:rPr>
                <w:rFonts w:ascii="Times New Roman;serif" w:hAnsi="Times New Roman;serif"/>
                <w:b/>
                <w:i/>
                <w:color w:val="000000"/>
                <w:sz w:val="20"/>
              </w:rPr>
              <w:t>Net premiums written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Diversified Legacy Reinsurance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AmTrust Legacy Reinsurance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00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Legacy Reinsurance Segment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60" w:after="120"/>
        <w:jc w:val="both"/>
        <w:rPr>
          <w:rFonts w:ascii="Times New Roman;serif" w:hAnsi="Times New Roman;serif"/>
          <w:b/>
          <w:color w:val="000000"/>
          <w:sz w:val="20"/>
        </w:rPr>
      </w:pPr>
      <w:r>
        <w:rPr>
          <w:rFonts w:ascii="Times New Roman;serif" w:hAnsi="Times New Roman;serif"/>
          <w:b/>
          <w:color w:val="000000"/>
          <w:sz w:val="20"/>
        </w:rPr>
        <w:t>3. Segment Information (continued)</w:t>
      </w:r>
    </w:p>
    <w:p>
      <w:pPr>
        <w:pStyle w:val="TextBody"/>
        <w:bidi w:val="0"/>
        <w:spacing w:lineRule="auto" w:line="240" w:before="60" w:after="283"/>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 xml:space="preserve">The financial information for net premiums earned by major line of business within the Legacy Reinsurance segment for the three months ended March 31, 2026 are detailed below: </w:t>
      </w:r>
    </w:p>
    <w:tbl>
      <w:tblPr>
        <w:tblW w:w="4962" w:type="dxa"/>
        <w:jc w:val="center"/>
        <w:tblInd w:w="0" w:type="dxa"/>
        <w:tblLayout w:type="fixed"/>
        <w:tblCellMar>
          <w:top w:w="28" w:type="dxa"/>
          <w:left w:w="28" w:type="dxa"/>
          <w:bottom w:w="28" w:type="dxa"/>
          <w:right w:w="28" w:type="dxa"/>
        </w:tblCellMar>
      </w:tblPr>
      <w:tblGrid>
        <w:gridCol w:w="1085"/>
        <w:gridCol w:w="953"/>
        <w:gridCol w:w="962"/>
        <w:gridCol w:w="109"/>
        <w:gridCol w:w="109"/>
        <w:gridCol w:w="109"/>
        <w:gridCol w:w="211"/>
        <w:gridCol w:w="616"/>
        <w:gridCol w:w="109"/>
        <w:gridCol w:w="109"/>
        <w:gridCol w:w="109"/>
        <w:gridCol w:w="109"/>
        <w:gridCol w:w="109"/>
        <w:gridCol w:w="109"/>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i/>
                <w:color w:val="000000"/>
                <w:sz w:val="20"/>
              </w:rPr>
            </w:pPr>
            <w:r>
              <w:rPr>
                <w:rFonts w:ascii="Times New Roman;serif" w:hAnsi="Times New Roman;serif"/>
                <w:b/>
                <w:i/>
                <w:color w:val="000000"/>
                <w:sz w:val="20"/>
              </w:rPr>
              <w:t>Net premiums earned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Diversified Legacy Reinsurance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AmTrust Legacy Reinsurance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00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Legacy Reinsurance Segment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200" w:after="120"/>
        <w:jc w:val="left"/>
        <w:rPr>
          <w:rFonts w:ascii="Times New Roman;serif" w:hAnsi="Times New Roman;serif"/>
          <w:b/>
          <w:color w:val="000000"/>
          <w:sz w:val="20"/>
        </w:rPr>
      </w:pPr>
      <w:r>
        <w:rPr>
          <w:rFonts w:ascii="Times New Roman;serif" w:hAnsi="Times New Roman;serif"/>
          <w:b/>
          <w:color w:val="000000"/>
          <w:sz w:val="20"/>
        </w:rPr>
        <w:t>4. Investments</w:t>
      </w:r>
    </w:p>
    <w:p>
      <w:pPr>
        <w:pStyle w:val="TextBody"/>
        <w:bidi w:val="0"/>
        <w:spacing w:lineRule="auto" w:line="240" w:before="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holds: (i) available-for-sale ("AFS") portfolios of fixed maturity and equity securities, carried at fair value; (ii) other investments carried at fair value; (iii) equity method investments using equity method accounting; and (iv) funds held - directly managed.</w:t>
      </w:r>
    </w:p>
    <w:p>
      <w:pPr>
        <w:pStyle w:val="TextBody"/>
        <w:bidi w:val="0"/>
        <w:spacing w:lineRule="auto" w:line="240" w:before="0" w:after="120"/>
        <w:ind w:left="0" w:right="0" w:hanging="270"/>
        <w:jc w:val="left"/>
        <w:rPr>
          <w:rFonts w:ascii="Times New Roman;serif" w:hAnsi="Times New Roman;serif"/>
          <w:b/>
          <w:i/>
          <w:color w:val="000000"/>
          <w:sz w:val="20"/>
        </w:rPr>
      </w:pPr>
      <w:r>
        <w:rPr>
          <w:rFonts w:ascii="Times New Roman;serif" w:hAnsi="Times New Roman;serif"/>
          <w:b/>
          <w:i/>
          <w:color w:val="000000"/>
          <w:sz w:val="20"/>
        </w:rPr>
        <w:t>a)Fixed Maturities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amortized cost, gross unrealized gains and losses, and fair value of AFS fixed maturity investments at March 31, 2026 and December 31, 2025 are as follows: </w:t>
      </w:r>
    </w:p>
    <w:tbl>
      <w:tblPr>
        <w:tblW w:w="10205" w:type="dxa"/>
        <w:jc w:val="center"/>
        <w:tblInd w:w="0" w:type="dxa"/>
        <w:tblLayout w:type="fixed"/>
        <w:tblCellMar>
          <w:top w:w="28" w:type="dxa"/>
          <w:left w:w="28" w:type="dxa"/>
          <w:bottom w:w="28" w:type="dxa"/>
          <w:right w:w="28" w:type="dxa"/>
        </w:tblCellMar>
      </w:tblPr>
      <w:tblGrid>
        <w:gridCol w:w="1061"/>
        <w:gridCol w:w="932"/>
        <w:gridCol w:w="945"/>
        <w:gridCol w:w="109"/>
        <w:gridCol w:w="109"/>
        <w:gridCol w:w="109"/>
        <w:gridCol w:w="327"/>
        <w:gridCol w:w="1285"/>
        <w:gridCol w:w="169"/>
        <w:gridCol w:w="109"/>
        <w:gridCol w:w="109"/>
        <w:gridCol w:w="109"/>
        <w:gridCol w:w="397"/>
        <w:gridCol w:w="880"/>
        <w:gridCol w:w="208"/>
        <w:gridCol w:w="109"/>
        <w:gridCol w:w="109"/>
        <w:gridCol w:w="109"/>
        <w:gridCol w:w="367"/>
        <w:gridCol w:w="940"/>
        <w:gridCol w:w="189"/>
        <w:gridCol w:w="109"/>
        <w:gridCol w:w="109"/>
        <w:gridCol w:w="109"/>
        <w:gridCol w:w="211"/>
        <w:gridCol w:w="826"/>
        <w:gridCol w:w="160"/>
      </w:tblGrid>
      <w:tr>
        <w:trPr/>
        <w:tc>
          <w:tcPr>
            <w:tcW w:w="106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9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Original or 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2938"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U.S. agency bonds – mortgage-backed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20,400 </w:t>
            </w:r>
          </w:p>
        </w:tc>
        <w:tc>
          <w:tcPr>
            <w:tcW w:w="16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20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8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20,947 </w:t>
            </w:r>
          </w:p>
        </w:tc>
        <w:tc>
          <w:tcPr>
            <w:tcW w:w="16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government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62,685 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62,308 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938"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28,479 </w:t>
            </w:r>
          </w:p>
        </w:tc>
        <w:tc>
          <w:tcPr>
            <w:tcW w:w="16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0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8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28,479 </w:t>
            </w:r>
          </w:p>
        </w:tc>
        <w:tc>
          <w:tcPr>
            <w:tcW w:w="16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2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2938"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AFS fixed maturity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118,298 </w:t>
            </w:r>
          </w:p>
        </w:tc>
        <w:tc>
          <w:tcPr>
            <w:tcW w:w="16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208"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w:t>
            </w:r>
          </w:p>
        </w:tc>
        <w:tc>
          <w:tcPr>
            <w:tcW w:w="18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118,376 </w:t>
            </w:r>
          </w:p>
        </w:tc>
        <w:tc>
          <w:tcPr>
            <w:tcW w:w="16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063"/>
        <w:gridCol w:w="935"/>
        <w:gridCol w:w="941"/>
        <w:gridCol w:w="109"/>
        <w:gridCol w:w="109"/>
        <w:gridCol w:w="109"/>
        <w:gridCol w:w="327"/>
        <w:gridCol w:w="1285"/>
        <w:gridCol w:w="169"/>
        <w:gridCol w:w="109"/>
        <w:gridCol w:w="109"/>
        <w:gridCol w:w="109"/>
        <w:gridCol w:w="397"/>
        <w:gridCol w:w="880"/>
        <w:gridCol w:w="208"/>
        <w:gridCol w:w="109"/>
        <w:gridCol w:w="109"/>
        <w:gridCol w:w="109"/>
        <w:gridCol w:w="367"/>
        <w:gridCol w:w="940"/>
        <w:gridCol w:w="189"/>
        <w:gridCol w:w="109"/>
        <w:gridCol w:w="109"/>
        <w:gridCol w:w="109"/>
        <w:gridCol w:w="211"/>
        <w:gridCol w:w="826"/>
        <w:gridCol w:w="159"/>
      </w:tblGrid>
      <w:tr>
        <w:trPr/>
        <w:tc>
          <w:tcPr>
            <w:tcW w:w="106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Original or 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939"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U.S. treasury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43,662 </w:t>
            </w:r>
          </w:p>
        </w:tc>
        <w:tc>
          <w:tcPr>
            <w:tcW w:w="16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0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43,673 </w:t>
            </w:r>
          </w:p>
        </w:tc>
        <w:tc>
          <w:tcPr>
            <w:tcW w:w="15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U.S. agency bonds – mortgage-backed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293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government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29,297 </w:t>
            </w:r>
          </w:p>
        </w:tc>
        <w:tc>
          <w:tcPr>
            <w:tcW w:w="16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8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29,143 </w:t>
            </w:r>
          </w:p>
        </w:tc>
        <w:tc>
          <w:tcPr>
            <w:tcW w:w="159"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62,593 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62,624 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7,977 </w:t>
            </w:r>
          </w:p>
        </w:tc>
        <w:tc>
          <w:tcPr>
            <w:tcW w:w="16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8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7,977 </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AFS fixed maturity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164,352 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165,035 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60" w:after="120"/>
        <w:jc w:val="both"/>
        <w:rPr>
          <w:rFonts w:ascii="Times New Roman;serif" w:hAnsi="Times New Roman;serif"/>
          <w:b w:val="false"/>
          <w:color w:val="000000"/>
          <w:sz w:val="20"/>
        </w:rPr>
      </w:pPr>
      <w:r>
        <w:rPr>
          <w:rFonts w:ascii="Times New Roman;serif" w:hAnsi="Times New Roman;serif"/>
          <w:b w:val="false"/>
          <w:color w:val="000000"/>
          <w:sz w:val="20"/>
        </w:rPr>
        <w:t>The Company separately presents the accrued interest receivable balance on its AFS fixed maturity investments on the Condensed Consolidated Balance Sheets under accrued investment income. The amount of accrued interest receivable on AFS securities was $644 at March 31, 2026 (December 31, 2025: $738). The Company elected the practical expedient to exclude accrued interest from both the fair value and the amortized cost basis of the AFS fixed maturity securities for the purposes of identifying and measuring any impairments under the allowance for expected credit losses standard. Write-offs of accrued interest receivable balances are recognized in net investment gains and losses in the period in which they are deemed uncollectible. There was no write-off recognized on the accrued interest receivable for the three months ended March 31, 2026.</w:t>
      </w:r>
    </w:p>
    <w:p>
      <w:pPr>
        <w:pStyle w:val="TextBody"/>
        <w:bidi w:val="0"/>
        <w:spacing w:lineRule="auto" w:line="240" w:before="60" w:after="120"/>
        <w:jc w:val="both"/>
        <w:rPr>
          <w:rFonts w:ascii="Times New Roman;serif" w:hAnsi="Times New Roman;serif"/>
          <w:b w:val="false"/>
          <w:color w:val="000000"/>
          <w:sz w:val="20"/>
        </w:rPr>
      </w:pPr>
      <w:r>
        <w:rPr>
          <w:rFonts w:ascii="Times New Roman;serif" w:hAnsi="Times New Roman;serif"/>
          <w:b w:val="false"/>
          <w:color w:val="000000"/>
          <w:sz w:val="20"/>
        </w:rPr>
        <w:t>The contractual maturities of our fixed maturities at March 31, 2026 are shown below. Actual maturities may differ from contractual maturities because borrowers may have the right to call or prepay obligations with or without call or prepayment penalties.</w:t>
      </w:r>
    </w:p>
    <w:tbl>
      <w:tblPr>
        <w:tblW w:w="6766" w:type="dxa"/>
        <w:jc w:val="center"/>
        <w:tblInd w:w="0" w:type="dxa"/>
        <w:tblLayout w:type="fixed"/>
        <w:tblCellMar>
          <w:top w:w="28" w:type="dxa"/>
          <w:left w:w="28" w:type="dxa"/>
          <w:bottom w:w="28" w:type="dxa"/>
          <w:right w:w="28" w:type="dxa"/>
        </w:tblCellMar>
      </w:tblPr>
      <w:tblGrid>
        <w:gridCol w:w="1187"/>
        <w:gridCol w:w="1044"/>
        <w:gridCol w:w="1054"/>
        <w:gridCol w:w="109"/>
        <w:gridCol w:w="109"/>
        <w:gridCol w:w="109"/>
        <w:gridCol w:w="221"/>
        <w:gridCol w:w="865"/>
        <w:gridCol w:w="114"/>
        <w:gridCol w:w="109"/>
        <w:gridCol w:w="109"/>
        <w:gridCol w:w="109"/>
        <w:gridCol w:w="211"/>
        <w:gridCol w:w="826"/>
        <w:gridCol w:w="109"/>
        <w:gridCol w:w="109"/>
        <w:gridCol w:w="109"/>
        <w:gridCol w:w="109"/>
        <w:gridCol w:w="154"/>
      </w:tblGrid>
      <w:tr>
        <w:trPr/>
        <w:tc>
          <w:tcPr>
            <w:tcW w:w="1187"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Due in one year or less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31,322 </w:t>
            </w:r>
          </w:p>
        </w:tc>
        <w:tc>
          <w:tcPr>
            <w:tcW w:w="11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31,228 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Due after one year through five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37,594 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Due after five years through ten years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1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69,419 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U.S. agency bonds – mortgage-backed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20,400 </w:t>
            </w:r>
          </w:p>
        </w:tc>
        <w:tc>
          <w:tcPr>
            <w:tcW w:w="11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20,947 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328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AFS fixed maturity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118,298 </w:t>
            </w:r>
          </w:p>
        </w:tc>
        <w:tc>
          <w:tcPr>
            <w:tcW w:w="11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118,376 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4. Investments (continued)</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fixed maturities in an unrealized loss position and the aggregate fair value and gross unrealized loss by length of time the security has continuously been in an unrealized loss position: </w:t>
      </w:r>
    </w:p>
    <w:tbl>
      <w:tblPr>
        <w:tblW w:w="10205" w:type="dxa"/>
        <w:jc w:val="center"/>
        <w:tblInd w:w="0" w:type="dxa"/>
        <w:tblLayout w:type="fixed"/>
        <w:tblCellMar>
          <w:top w:w="28" w:type="dxa"/>
          <w:left w:w="28" w:type="dxa"/>
          <w:bottom w:w="28" w:type="dxa"/>
          <w:right w:w="28" w:type="dxa"/>
        </w:tblCellMar>
      </w:tblPr>
      <w:tblGrid>
        <w:gridCol w:w="976"/>
        <w:gridCol w:w="858"/>
        <w:gridCol w:w="870"/>
        <w:gridCol w:w="109"/>
        <w:gridCol w:w="109"/>
        <w:gridCol w:w="109"/>
        <w:gridCol w:w="211"/>
        <w:gridCol w:w="721"/>
        <w:gridCol w:w="109"/>
        <w:gridCol w:w="109"/>
        <w:gridCol w:w="109"/>
        <w:gridCol w:w="109"/>
        <w:gridCol w:w="234"/>
        <w:gridCol w:w="537"/>
        <w:gridCol w:w="121"/>
        <w:gridCol w:w="109"/>
        <w:gridCol w:w="109"/>
        <w:gridCol w:w="109"/>
        <w:gridCol w:w="211"/>
        <w:gridCol w:w="406"/>
        <w:gridCol w:w="109"/>
        <w:gridCol w:w="109"/>
        <w:gridCol w:w="109"/>
        <w:gridCol w:w="109"/>
        <w:gridCol w:w="259"/>
        <w:gridCol w:w="499"/>
        <w:gridCol w:w="135"/>
        <w:gridCol w:w="109"/>
        <w:gridCol w:w="109"/>
        <w:gridCol w:w="109"/>
        <w:gridCol w:w="211"/>
        <w:gridCol w:w="721"/>
        <w:gridCol w:w="109"/>
        <w:gridCol w:w="109"/>
        <w:gridCol w:w="109"/>
        <w:gridCol w:w="109"/>
        <w:gridCol w:w="233"/>
        <w:gridCol w:w="534"/>
        <w:gridCol w:w="179"/>
      </w:tblGrid>
      <w:tr>
        <w:trPr/>
        <w:tc>
          <w:tcPr>
            <w:tcW w:w="97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Fair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Unrealized </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Fair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Unrealized </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Fair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Unrealized </w:t>
              <w:br/>
              <w:t>losses</w:t>
            </w:r>
          </w:p>
        </w:tc>
      </w:tr>
      <w:tr>
        <w:trPr/>
        <w:tc>
          <w:tcPr>
            <w:tcW w:w="2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r>
      <w:tr>
        <w:trPr/>
        <w:tc>
          <w:tcPr>
            <w:tcW w:w="2704"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U.S. agency bonds – mortgage-backed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7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2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government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70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21,227 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2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21,227 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7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270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temporarily impaired AFS fixed maturity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90,756 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w:t>
            </w:r>
          </w:p>
        </w:tc>
        <w:tc>
          <w:tcPr>
            <w:tcW w:w="1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90,756 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w:t>
            </w:r>
          </w:p>
        </w:tc>
        <w:tc>
          <w:tcPr>
            <w:tcW w:w="17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r>
      <w:tr>
        <w:trPr/>
        <w:tc>
          <w:tcPr>
            <w:tcW w:w="2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60" w:after="120"/>
        <w:jc w:val="both"/>
        <w:rPr>
          <w:rFonts w:ascii="Times New Roman;serif" w:hAnsi="Times New Roman;serif"/>
          <w:b w:val="false"/>
          <w:color w:val="000000"/>
          <w:sz w:val="20"/>
        </w:rPr>
      </w:pPr>
      <w:r>
        <w:rPr>
          <w:rFonts w:ascii="Times New Roman;serif" w:hAnsi="Times New Roman;serif"/>
          <w:b w:val="false"/>
          <w:color w:val="000000"/>
          <w:sz w:val="20"/>
        </w:rPr>
        <w:t>At March 31, 2026, there were 26 securities in an unrealized loss position with a fair value of $90,756 and unrealized losses of $484, all of which have been in an unrealized loss position for less than twelve months.</w:t>
      </w:r>
    </w:p>
    <w:tbl>
      <w:tblPr>
        <w:tblW w:w="10205" w:type="dxa"/>
        <w:jc w:val="center"/>
        <w:tblInd w:w="0" w:type="dxa"/>
        <w:tblLayout w:type="fixed"/>
        <w:tblCellMar>
          <w:top w:w="28" w:type="dxa"/>
          <w:left w:w="28" w:type="dxa"/>
          <w:bottom w:w="28" w:type="dxa"/>
          <w:right w:w="28" w:type="dxa"/>
        </w:tblCellMar>
      </w:tblPr>
      <w:tblGrid>
        <w:gridCol w:w="1140"/>
        <w:gridCol w:w="775"/>
        <w:gridCol w:w="769"/>
        <w:gridCol w:w="109"/>
        <w:gridCol w:w="109"/>
        <w:gridCol w:w="109"/>
        <w:gridCol w:w="211"/>
        <w:gridCol w:w="721"/>
        <w:gridCol w:w="109"/>
        <w:gridCol w:w="109"/>
        <w:gridCol w:w="109"/>
        <w:gridCol w:w="109"/>
        <w:gridCol w:w="236"/>
        <w:gridCol w:w="542"/>
        <w:gridCol w:w="122"/>
        <w:gridCol w:w="109"/>
        <w:gridCol w:w="109"/>
        <w:gridCol w:w="109"/>
        <w:gridCol w:w="211"/>
        <w:gridCol w:w="406"/>
        <w:gridCol w:w="109"/>
        <w:gridCol w:w="109"/>
        <w:gridCol w:w="109"/>
        <w:gridCol w:w="109"/>
        <w:gridCol w:w="261"/>
        <w:gridCol w:w="504"/>
        <w:gridCol w:w="136"/>
        <w:gridCol w:w="109"/>
        <w:gridCol w:w="109"/>
        <w:gridCol w:w="109"/>
        <w:gridCol w:w="211"/>
        <w:gridCol w:w="721"/>
        <w:gridCol w:w="109"/>
        <w:gridCol w:w="109"/>
        <w:gridCol w:w="109"/>
        <w:gridCol w:w="109"/>
        <w:gridCol w:w="234"/>
        <w:gridCol w:w="539"/>
        <w:gridCol w:w="177"/>
      </w:tblGrid>
      <w:tr>
        <w:trPr/>
        <w:tc>
          <w:tcPr>
            <w:tcW w:w="114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Fair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Unrealized </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Fair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Unrealized </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Fair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Unrealized </w:t>
              <w:br/>
              <w:t>losses</w:t>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2684"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government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29,142 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2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29,142 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7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7,466 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7,466 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7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temporarily impaired AFS fixed maturity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At December 31, 2025, there were 18 securities in an unrealized loss position with a fair value of $72,978 and unrealized losses of $177, all of which have been in an unrealized loss position for less than twelve months.</w:t>
      </w:r>
    </w:p>
    <w:p>
      <w:pPr>
        <w:pStyle w:val="TextBody"/>
        <w:bidi w:val="0"/>
        <w:spacing w:lineRule="auto" w:line="240" w:before="0" w:after="120"/>
        <w:jc w:val="both"/>
        <w:rPr>
          <w:rFonts w:ascii="Times New Roman;serif" w:hAnsi="Times New Roman;serif"/>
          <w:b w:val="false"/>
          <w:i/>
          <w:color w:val="000000"/>
          <w:sz w:val="20"/>
        </w:rPr>
      </w:pPr>
      <w:r>
        <w:rPr>
          <w:rFonts w:ascii="Times New Roman;serif" w:hAnsi="Times New Roman;serif"/>
          <w:b w:val="false"/>
          <w:i/>
          <w:color w:val="000000"/>
          <w:sz w:val="20"/>
        </w:rPr>
        <w:t>Allowance for Expected Credit Losses &amp; Non-Credit Related Impairment Costs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evaluates AFS securities for impairment when fair value is below amortized cost on a quarterly basis. If the Company intends to sell or will be required to sell the security before its anticipated recovery, the full amount of the impairment loss is charged to net income (loss) and included in net investment gains (losses). If the Company does not intend to sell or will not be required to sell the security before its anticipated recovery, an allowance for expected credit losses is established and the portion of the loss relating to credit factors is recorded in net income (loss). The non-credit impairment amount of the loss (which could be related to interest rates and/or market conditions) is recognized in other comprehensive income ("OCI").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To estimate the allowance for expected credit losses for most of the AFS securities, the Company analyzes projected cash flows which are primarily driven by assumptions regarding loss severity, probability of default and projected recovery rates. The Company's determination of default and loss severity rates are based on credit rating, credit analysis and macroeconomic forecasts. Unrealized losses on securities issued or backed, either explicitly or implicitly by the U.S. government are not analyzed for credit losses. The Company has concluded that any possibility of a credit loss on these securities is highly unlikely due to the explicit U.S. government guarantee related to certain securities (e.g., Government National Mortgage Association issuances) and the implicit guarantee related to other securities that has been validated by past actions (e.g., U.S. government bailout of Federal National Mortgage Association and Federal Home Loan Mortgage Corporation during the 2008 credit crisis). Although these securities are not analyzed for credit losses, they are evaluated for impairment based on the Company's intention to sell and likely requirement to sell.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Company's analysis at March 31, 2026, net unrealized gains on the Company’s AFS fixed maturity securities were due to non-credit factors and were expected to be recovered as the related securities approach maturity. At March 31, 2026, the Company did not intend to sell the securities in an unrealized loss position and it is not more likely than not that the Company will be required to sell these securities before the anticipated recovery of their amortized costs. Therefore, no allowance was recorded for expected credit losses on AFS securities for the three months ended March 31, 2026.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4. Investments (continued)</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credit ratings of our fixed maturities as at March 31, 2026 and December 31, 2025:</w:t>
      </w:r>
    </w:p>
    <w:tbl>
      <w:tblPr>
        <w:tblW w:w="7755" w:type="dxa"/>
        <w:jc w:val="center"/>
        <w:tblInd w:w="0" w:type="dxa"/>
        <w:tblLayout w:type="fixed"/>
        <w:tblCellMar>
          <w:top w:w="28" w:type="dxa"/>
          <w:left w:w="28" w:type="dxa"/>
          <w:bottom w:w="28" w:type="dxa"/>
          <w:right w:w="28" w:type="dxa"/>
        </w:tblCellMar>
      </w:tblPr>
      <w:tblGrid>
        <w:gridCol w:w="1164"/>
        <w:gridCol w:w="1023"/>
        <w:gridCol w:w="1037"/>
        <w:gridCol w:w="109"/>
        <w:gridCol w:w="109"/>
        <w:gridCol w:w="109"/>
        <w:gridCol w:w="221"/>
        <w:gridCol w:w="865"/>
        <w:gridCol w:w="114"/>
        <w:gridCol w:w="109"/>
        <w:gridCol w:w="109"/>
        <w:gridCol w:w="109"/>
        <w:gridCol w:w="211"/>
        <w:gridCol w:w="826"/>
        <w:gridCol w:w="109"/>
        <w:gridCol w:w="109"/>
        <w:gridCol w:w="109"/>
        <w:gridCol w:w="109"/>
        <w:gridCol w:w="307"/>
        <w:gridCol w:w="309"/>
        <w:gridCol w:w="588"/>
      </w:tblGrid>
      <w:tr>
        <w:trPr/>
        <w:tc>
          <w:tcPr>
            <w:tcW w:w="1164"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 of Total </w:t>
              <w:br/>
              <w:t>fair value</w:t>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U.S. agency bonds – mortgage-backed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20,400 </w:t>
            </w:r>
          </w:p>
        </w:tc>
        <w:tc>
          <w:tcPr>
            <w:tcW w:w="11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20,947 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58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AAA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AA+, AA, AA-</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18,832 </w:t>
            </w:r>
          </w:p>
        </w:tc>
        <w:tc>
          <w:tcPr>
            <w:tcW w:w="11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18,756 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588"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A+, A,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BBB+, BBB, BBB-</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1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88"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color w:val="000000"/>
                <w:sz w:val="20"/>
              </w:rPr>
              <w:t xml:space="preserve">Total fixed maturities </w:t>
            </w:r>
            <w:r>
              <w:rPr>
                <w:rFonts w:ascii="Times New Roman;serif" w:hAnsi="Times New Roman;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118,298 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7756" w:type="dxa"/>
        <w:jc w:val="left"/>
        <w:tblInd w:w="0" w:type="dxa"/>
        <w:tblLayout w:type="fixed"/>
        <w:tblCellMar>
          <w:top w:w="28" w:type="dxa"/>
          <w:left w:w="28" w:type="dxa"/>
          <w:bottom w:w="28" w:type="dxa"/>
          <w:right w:w="28" w:type="dxa"/>
        </w:tblCellMar>
      </w:tblPr>
      <w:tblGrid>
        <w:gridCol w:w="1166"/>
        <w:gridCol w:w="1026"/>
        <w:gridCol w:w="1033"/>
        <w:gridCol w:w="109"/>
        <w:gridCol w:w="109"/>
        <w:gridCol w:w="109"/>
        <w:gridCol w:w="221"/>
        <w:gridCol w:w="865"/>
        <w:gridCol w:w="114"/>
        <w:gridCol w:w="109"/>
        <w:gridCol w:w="109"/>
        <w:gridCol w:w="109"/>
        <w:gridCol w:w="211"/>
        <w:gridCol w:w="826"/>
        <w:gridCol w:w="109"/>
        <w:gridCol w:w="109"/>
        <w:gridCol w:w="109"/>
        <w:gridCol w:w="109"/>
        <w:gridCol w:w="307"/>
        <w:gridCol w:w="309"/>
        <w:gridCol w:w="588"/>
      </w:tblGrid>
      <w:tr>
        <w:trPr/>
        <w:tc>
          <w:tcPr>
            <w:tcW w:w="116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 of Total </w:t>
              <w:br/>
              <w:t>fair value</w:t>
            </w:r>
          </w:p>
        </w:tc>
      </w:tr>
      <w:tr>
        <w:trPr/>
        <w:tc>
          <w:tcPr>
            <w:tcW w:w="3225"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U.S. treasury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43,662 </w:t>
            </w:r>
          </w:p>
        </w:tc>
        <w:tc>
          <w:tcPr>
            <w:tcW w:w="11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43,673 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58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U.S. agency bonds – mortgage-backed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AAA</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64,404 </w:t>
            </w:r>
          </w:p>
        </w:tc>
        <w:tc>
          <w:tcPr>
            <w:tcW w:w="11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64,436 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588"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AA+, AA, 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A+, A, A-</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21,649 </w:t>
            </w:r>
          </w:p>
        </w:tc>
        <w:tc>
          <w:tcPr>
            <w:tcW w:w="11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21,509 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588"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BBB+, BBB, BBB-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color w:val="000000"/>
                <w:sz w:val="20"/>
              </w:rPr>
              <w:t>Total fixed maturities</w:t>
            </w:r>
            <w:r>
              <w:rPr>
                <w:rFonts w:ascii="Times New Roman;serif" w:hAnsi="Times New Roman;serif"/>
                <w:b/>
                <w:color w:val="000000"/>
                <w:sz w:val="13"/>
              </w:rPr>
              <w:t>(1)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164,352 </w:t>
            </w:r>
          </w:p>
        </w:tc>
        <w:tc>
          <w:tcPr>
            <w:tcW w:w="11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165,035 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88"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40" w:before="100" w:after="6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(1)Ratings above are based on Standard &amp; Poor’s ("S&amp;P"), or equivalent, ratings.</w:t>
      </w:r>
    </w:p>
    <w:p>
      <w:pPr>
        <w:pStyle w:val="TextBody"/>
        <w:bidi w:val="0"/>
        <w:spacing w:before="100" w:after="60"/>
        <w:jc w:val="left"/>
        <w:rPr/>
      </w:pPr>
      <w:r>
        <w:rPr/>
      </w:r>
    </w:p>
    <w:p>
      <w:pPr>
        <w:pStyle w:val="TextBody"/>
        <w:bidi w:val="0"/>
        <w:spacing w:lineRule="auto" w:line="240" w:before="0" w:after="120"/>
        <w:ind w:left="0" w:right="0" w:hanging="270"/>
        <w:jc w:val="left"/>
        <w:rPr>
          <w:rFonts w:ascii="Times New Roman;serif" w:hAnsi="Times New Roman;serif"/>
          <w:b/>
          <w:i/>
          <w:color w:val="000000"/>
          <w:sz w:val="20"/>
        </w:rPr>
      </w:pPr>
      <w:r>
        <w:rPr>
          <w:rFonts w:ascii="Times New Roman;serif" w:hAnsi="Times New Roman;serif"/>
          <w:b/>
          <w:i/>
          <w:color w:val="000000"/>
          <w:sz w:val="20"/>
        </w:rPr>
        <w:t>b)Other Investments, Equity Securities and Equity Method Investments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Certain of the Company's other investments and equity method investments are subject to restrictions on redemptions and sales that are determined by the governing documents, which could limit our ability to liquidate those investments. These restrictions may include lock-ups, redemption gates, restricted share classes, restrictions on the frequency of redemption and notice periods. A gate is the ability to deny or delay a redemption request. Certain other investments and equity method investments may not have any restrictions governing their sale, but there is no active market and no assurance that the Company will be able to execute a sale in a timely manner. In addition, even if certain other investments and equity method investments are not eligible for redemption or sales are restricted, we may still receive income distributions from those investments.</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The collateralized investments in direct lending entities of $52,687 at March 31, 2026 (December 31, 2025: $53,275) are carried at fair market value. ASC 825-10: </w:t>
      </w:r>
      <w:r>
        <w:rPr>
          <w:rFonts w:ascii="Times New Roman;serif" w:hAnsi="Times New Roman;serif"/>
          <w:b w:val="false"/>
          <w:i/>
          <w:color w:val="000000"/>
          <w:sz w:val="20"/>
        </w:rPr>
        <w:t>Financial Instruments</w:t>
      </w:r>
      <w:r>
        <w:rPr>
          <w:color w:val="000000"/>
        </w:rPr>
        <w:t xml:space="preserve"> </w:t>
      </w:r>
      <w:r>
        <w:rPr>
          <w:rFonts w:ascii="Times New Roman;serif" w:hAnsi="Times New Roman;serif"/>
          <w:b w:val="false"/>
          <w:color w:val="000000"/>
          <w:sz w:val="20"/>
        </w:rPr>
        <w:t xml:space="preserve">provides a measurement basis election for most financial instruments using a choice of either historical cost or fair value, including other investments, allowing reporting entities to mitigate potential mismatches that arise under the current mixed measurement attribute model. The Company has elected the fair value option for its investments in direct lending entities, and these investments are reported at fair value as of March 31, 2026 and December 31, 2025. Please see </w:t>
      </w:r>
      <w:r>
        <w:rPr>
          <w:rFonts w:ascii="Times New Roman;serif" w:hAnsi="Times New Roman;serif"/>
          <w:b w:val="false"/>
          <w:i/>
          <w:color w:val="000000"/>
          <w:sz w:val="20"/>
        </w:rPr>
        <w:t>Note 5(d). Fair Value Measurements</w:t>
      </w:r>
      <w:r>
        <w:rPr>
          <w:color w:val="000000"/>
        </w:rPr>
        <w:t xml:space="preserve"> </w:t>
      </w:r>
      <w:r>
        <w:rPr>
          <w:rFonts w:ascii="Times New Roman;serif" w:hAnsi="Times New Roman;serif"/>
          <w:b w:val="false"/>
          <w:color w:val="000000"/>
          <w:sz w:val="20"/>
        </w:rPr>
        <w:t>for additional information regarding this investment.</w:t>
      </w:r>
    </w:p>
    <w:p>
      <w:pPr>
        <w:pStyle w:val="TextBody"/>
        <w:bidi w:val="0"/>
        <w:spacing w:lineRule="auto" w:line="240" w:before="0" w:after="120"/>
        <w:jc w:val="left"/>
        <w:rPr>
          <w:rFonts w:ascii="Times New Roman;serif" w:hAnsi="Times New Roman;serif"/>
          <w:b w:val="false"/>
          <w:i/>
          <w:color w:val="000000"/>
          <w:sz w:val="20"/>
        </w:rPr>
      </w:pPr>
      <w:r>
        <w:rPr>
          <w:rFonts w:ascii="Times New Roman;serif" w:hAnsi="Times New Roman;serif"/>
          <w:b w:val="false"/>
          <w:i/>
          <w:color w:val="000000"/>
          <w:sz w:val="20"/>
        </w:rPr>
        <w:t>Other investments</w:t>
      </w:r>
    </w:p>
    <w:p>
      <w:pPr>
        <w:pStyle w:val="TextBody"/>
        <w:bidi w:val="0"/>
        <w:spacing w:lineRule="auto" w:line="240" w:before="0" w:after="12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shows the composition of the Company's other investments at fair value as of March 31, 2026 and December 31, 2025: </w:t>
      </w:r>
    </w:p>
    <w:tbl>
      <w:tblPr>
        <w:tblW w:w="10205" w:type="dxa"/>
        <w:jc w:val="center"/>
        <w:tblInd w:w="0" w:type="dxa"/>
        <w:tblLayout w:type="fixed"/>
        <w:tblCellMar>
          <w:top w:w="28" w:type="dxa"/>
          <w:left w:w="28" w:type="dxa"/>
          <w:bottom w:w="28" w:type="dxa"/>
          <w:right w:w="28" w:type="dxa"/>
        </w:tblCellMar>
      </w:tblPr>
      <w:tblGrid>
        <w:gridCol w:w="1607"/>
        <w:gridCol w:w="1365"/>
        <w:gridCol w:w="1372"/>
        <w:gridCol w:w="109"/>
        <w:gridCol w:w="109"/>
        <w:gridCol w:w="109"/>
        <w:gridCol w:w="211"/>
        <w:gridCol w:w="826"/>
        <w:gridCol w:w="109"/>
        <w:gridCol w:w="109"/>
        <w:gridCol w:w="109"/>
        <w:gridCol w:w="109"/>
        <w:gridCol w:w="307"/>
        <w:gridCol w:w="309"/>
        <w:gridCol w:w="495"/>
        <w:gridCol w:w="109"/>
        <w:gridCol w:w="109"/>
        <w:gridCol w:w="109"/>
        <w:gridCol w:w="211"/>
        <w:gridCol w:w="826"/>
        <w:gridCol w:w="109"/>
        <w:gridCol w:w="109"/>
        <w:gridCol w:w="109"/>
        <w:gridCol w:w="109"/>
        <w:gridCol w:w="307"/>
        <w:gridCol w:w="309"/>
        <w:gridCol w:w="534"/>
      </w:tblGrid>
      <w:tr>
        <w:trPr/>
        <w:tc>
          <w:tcPr>
            <w:tcW w:w="1607"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 of 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4344"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Private equity funds</w:t>
            </w:r>
            <w:r>
              <w:rPr>
                <w:rFonts w:ascii="Times New Roman;serif" w:hAnsi="Times New Roman;serif"/>
                <w:b w:val="false"/>
                <w:color w:val="000000"/>
                <w:sz w:val="13"/>
              </w:rPr>
              <w:t>(1)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32,905 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49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31,732 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53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val="false"/>
                <w:color w:val="000000"/>
                <w:sz w:val="20"/>
              </w:rPr>
              <w:t>Privately held equity investments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44"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Private credit investments</w:t>
            </w:r>
            <w:r>
              <w:rPr>
                <w:rFonts w:ascii="Times New Roman;serif" w:hAnsi="Times New Roman;serif"/>
                <w:b w:val="false"/>
                <w:color w:val="000000"/>
                <w:sz w:val="13"/>
              </w:rPr>
              <w:t>(1)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95"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34"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 with fair value option elected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34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direct lending entities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52,687 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495"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53,275 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534" w:type="dxa"/>
            <w:tcBorders/>
            <w:shd w:fill="CCFFCC" w:val="clear"/>
            <w:tcMar>
              <w:top w:w="0" w:type="dxa"/>
              <w:left w:w="0" w:type="dxa"/>
              <w:bottom w:w="0" w:type="dxa"/>
              <w:right w:w="0" w:type="dxa"/>
            </w:tcMar>
            <w:vAlign w:val="center"/>
          </w:tcPr>
          <w:p>
            <w:pPr>
              <w:pStyle w:val="TableContents"/>
              <w:bidi w:val="0"/>
              <w:spacing w:lineRule="auto" w:line="240" w:before="0" w:after="283"/>
              <w:ind w:left="0" w:right="0" w:hanging="36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investments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40" w:before="60" w:after="120"/>
        <w:jc w:val="both"/>
        <w:rPr/>
      </w:pPr>
      <w:r>
        <w:rPr>
          <w:rFonts w:ascii="Times New Roman;serif" w:hAnsi="Times New Roman;serif"/>
          <w:b/>
          <w:i/>
          <w:color w:val="000000"/>
          <w:sz w:val="10"/>
        </w:rPr>
        <w:t xml:space="preserve">(1) </w:t>
      </w:r>
      <w:r>
        <w:rPr>
          <w:rFonts w:ascii="Times New Roman;serif" w:hAnsi="Times New Roman;serif"/>
          <w:b w:val="false"/>
          <w:color w:val="000000"/>
          <w:sz w:val="18"/>
        </w:rPr>
        <w:t xml:space="preserve">Private equity funds, private credit investments, and one privately held equity investment are measured at fair value using the NAV practical expedient. Please see </w:t>
      </w:r>
      <w:r>
        <w:rPr>
          <w:rFonts w:ascii="Times New Roman;serif" w:hAnsi="Times New Roman;serif"/>
          <w:b w:val="false"/>
          <w:i/>
          <w:color w:val="000000"/>
          <w:sz w:val="18"/>
        </w:rPr>
        <w:t xml:space="preserve">Note 5. Fair Value Measurements </w:t>
      </w:r>
      <w:r>
        <w:rPr>
          <w:rFonts w:ascii="Times New Roman;serif" w:hAnsi="Times New Roman;serif"/>
          <w:b w:val="false"/>
          <w:color w:val="000000"/>
          <w:sz w:val="18"/>
        </w:rPr>
        <w:t>for further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60" w:after="120"/>
        <w:jc w:val="both"/>
        <w:rPr>
          <w:rFonts w:ascii="Times New Roman;serif" w:hAnsi="Times New Roman;serif"/>
          <w:b/>
          <w:color w:val="000000"/>
          <w:sz w:val="20"/>
        </w:rPr>
      </w:pPr>
      <w:r>
        <w:rPr>
          <w:rFonts w:ascii="Times New Roman;serif" w:hAnsi="Times New Roman;serif"/>
          <w:b/>
          <w:color w:val="000000"/>
          <w:sz w:val="20"/>
        </w:rPr>
        <w:t>4. Investments (continued)</w:t>
      </w:r>
    </w:p>
    <w:p>
      <w:pPr>
        <w:pStyle w:val="TextBody"/>
        <w:bidi w:val="0"/>
        <w:spacing w:lineRule="auto" w:line="240" w:before="60" w:after="120"/>
        <w:jc w:val="both"/>
        <w:rPr>
          <w:rFonts w:ascii="Times New Roman;serif" w:hAnsi="Times New Roman;serif"/>
          <w:b w:val="false"/>
          <w:i/>
          <w:color w:val="000000"/>
          <w:sz w:val="20"/>
        </w:rPr>
      </w:pPr>
      <w:r>
        <w:rPr>
          <w:rFonts w:ascii="Times New Roman;serif" w:hAnsi="Times New Roman;serif"/>
          <w:b w:val="false"/>
          <w:i/>
          <w:color w:val="000000"/>
          <w:sz w:val="20"/>
        </w:rPr>
        <w:t>Equity Securities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Equity securities include privately held equity investments in common and preferred stocks. The Company's privately held equity investments in common and preferred stocks are direct investments in companies that the Company believes offer attractive risk adjusted returns or offer other strategic advantages. Each investment may have its own unique terms and conditions and there may be restrictions on disposals. There is no active market for these investments. </w:t>
      </w:r>
    </w:p>
    <w:p>
      <w:pPr>
        <w:pStyle w:val="TextBody"/>
        <w:bidi w:val="0"/>
        <w:spacing w:lineRule="auto" w:line="240" w:before="0" w:after="6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cost and fair values of the equity securities held at March 31, 2026 and December 31, 2025:</w:t>
      </w:r>
    </w:p>
    <w:tbl>
      <w:tblPr>
        <w:tblW w:w="8097" w:type="dxa"/>
        <w:jc w:val="left"/>
        <w:tblInd w:w="0" w:type="dxa"/>
        <w:tblLayout w:type="fixed"/>
        <w:tblCellMar>
          <w:top w:w="28" w:type="dxa"/>
          <w:left w:w="28" w:type="dxa"/>
          <w:bottom w:w="28" w:type="dxa"/>
          <w:right w:w="28" w:type="dxa"/>
        </w:tblCellMar>
      </w:tblPr>
      <w:tblGrid>
        <w:gridCol w:w="934"/>
        <w:gridCol w:w="820"/>
        <w:gridCol w:w="826"/>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34"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58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Privately held common stocks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5,135 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4,838 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5,135 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4,838 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Privately held preferred stocks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258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 securities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11,145 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11,748 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11,145 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11,748 </w:t>
            </w:r>
          </w:p>
        </w:tc>
        <w:tc>
          <w:tcPr>
            <w:tcW w:w="15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All privately held securities held at March 31, 2026 are subject to contractual sale restrictions. Each of these investments are subject to agreements that restrict the transfer, sale, and indemnification of these privately held investments indefinitely. The Company must hold these shares indefinitely unless the investee's shares are registered with the SEC and qualified by state authorities, or until an exemption from such registration and qualification requirements may become available. </w:t>
      </w:r>
    </w:p>
    <w:tbl>
      <w:tblPr>
        <w:tblW w:w="10205" w:type="dxa"/>
        <w:jc w:val="left"/>
        <w:tblInd w:w="0" w:type="dxa"/>
        <w:tblLayout w:type="fixed"/>
        <w:tblCellMar>
          <w:top w:w="28" w:type="dxa"/>
          <w:left w:w="28" w:type="dxa"/>
          <w:bottom w:w="28" w:type="dxa"/>
          <w:right w:w="28" w:type="dxa"/>
        </w:tblCellMar>
      </w:tblPr>
      <w:tblGrid>
        <w:gridCol w:w="923"/>
        <w:gridCol w:w="658"/>
        <w:gridCol w:w="663"/>
        <w:gridCol w:w="109"/>
        <w:gridCol w:w="109"/>
        <w:gridCol w:w="109"/>
        <w:gridCol w:w="211"/>
        <w:gridCol w:w="721"/>
        <w:gridCol w:w="109"/>
        <w:gridCol w:w="109"/>
        <w:gridCol w:w="109"/>
        <w:gridCol w:w="109"/>
        <w:gridCol w:w="486"/>
        <w:gridCol w:w="486"/>
        <w:gridCol w:w="487"/>
        <w:gridCol w:w="109"/>
        <w:gridCol w:w="109"/>
        <w:gridCol w:w="109"/>
        <w:gridCol w:w="623"/>
        <w:gridCol w:w="623"/>
        <w:gridCol w:w="625"/>
        <w:gridCol w:w="109"/>
        <w:gridCol w:w="109"/>
        <w:gridCol w:w="109"/>
        <w:gridCol w:w="666"/>
        <w:gridCol w:w="666"/>
        <w:gridCol w:w="950"/>
      </w:tblGrid>
      <w:tr>
        <w:trPr/>
        <w:tc>
          <w:tcPr>
            <w:tcW w:w="92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2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Fair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Remaining duration of restrictions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Nature of contractual sale restrictions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Circumstances that could cause a lapse in restrictions</w:t>
            </w:r>
          </w:p>
        </w:tc>
      </w:tr>
      <w:tr>
        <w:trPr/>
        <w:tc>
          <w:tcPr>
            <w:tcW w:w="224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Privately held common stocks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4,838 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Indefinite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The Purchaser must hold the restricted shares indefinitely </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Registration of securities with the SEC or if exemption is available</w:t>
            </w:r>
          </w:p>
        </w:tc>
      </w:tr>
      <w:tr>
        <w:trPr/>
        <w:tc>
          <w:tcPr>
            <w:tcW w:w="2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Privately held preferred stocks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Purchaser must hold the restricted shares indefinitely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Registration of securities with the SEC or if exemption is available</w:t>
            </w:r>
          </w:p>
        </w:tc>
      </w:tr>
      <w:tr>
        <w:trPr/>
        <w:tc>
          <w:tcPr>
            <w:tcW w:w="2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2"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224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equity securities subject to contractual sale restrictions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11,748 </w:t>
            </w:r>
          </w:p>
        </w:tc>
        <w:tc>
          <w:tcPr>
            <w:tcW w:w="109"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jc w:val="both"/>
        <w:rPr>
          <w:rFonts w:ascii="Times New Roman;serif" w:hAnsi="Times New Roman;serif"/>
          <w:b w:val="false"/>
          <w:i/>
          <w:color w:val="000000"/>
          <w:sz w:val="20"/>
        </w:rPr>
      </w:pPr>
      <w:r>
        <w:rPr>
          <w:rFonts w:ascii="Times New Roman;serif" w:hAnsi="Times New Roman;serif"/>
          <w:b w:val="false"/>
          <w:i/>
          <w:color w:val="000000"/>
          <w:sz w:val="20"/>
        </w:rPr>
        <w:t>Equity Method Investments</w:t>
      </w:r>
    </w:p>
    <w:p>
      <w:pPr>
        <w:pStyle w:val="TextBody"/>
        <w:bidi w:val="0"/>
        <w:spacing w:lineRule="auto" w:line="240" w:before="0" w:after="0"/>
        <w:ind w:left="0" w:right="0" w:firstLine="270"/>
        <w:jc w:val="both"/>
        <w:rPr/>
      </w:pPr>
      <w:r>
        <w:rPr>
          <w:rFonts w:ascii="Times New Roman;serif" w:hAnsi="Times New Roman;serif"/>
          <w:b w:val="false"/>
          <w:color w:val="000000"/>
          <w:sz w:val="20"/>
        </w:rPr>
        <w:t xml:space="preserve">The equity method investments include real estate investments accounted for under the equity method and other investments measured at fair value. </w:t>
      </w:r>
      <w:r>
        <w:rPr>
          <w:rFonts w:ascii="Times New Roman;serif" w:hAnsi="Times New Roman;serif"/>
          <w:b w:val="false"/>
          <w:color w:val="000000"/>
          <w:sz w:val="20"/>
          <w:shd w:fill="FFFFFF" w:val="clear"/>
        </w:rPr>
        <w:t xml:space="preserve">The equity method investments include limited partnerships which are variable interests issued by variable interest entities ("VIEs"). </w:t>
      </w:r>
      <w:r>
        <w:rPr>
          <w:rFonts w:ascii="Times New Roman;serif" w:hAnsi="Times New Roman;serif"/>
          <w:b w:val="false"/>
          <w:color w:val="000000"/>
          <w:sz w:val="20"/>
        </w:rPr>
        <w:t xml:space="preserve">The Company is not the primary beneficiary of these VIEs as it does not have the power to direct the activities that are most significant to the economic performance of these VIEs. </w:t>
      </w:r>
      <w:r>
        <w:rPr>
          <w:rFonts w:ascii="sans-serif" w:hAnsi="sans-serif"/>
          <w:b w:val="false"/>
          <w:color w:val="44546A"/>
          <w:sz w:val="22"/>
        </w:rPr>
        <w:t>T</w:t>
      </w:r>
      <w:r>
        <w:rPr>
          <w:rFonts w:ascii="Times New Roman;serif" w:hAnsi="Times New Roman;serif"/>
          <w:b w:val="false"/>
          <w:color w:val="000000"/>
          <w:sz w:val="20"/>
          <w:shd w:fill="FFFFFF" w:val="clear"/>
        </w:rPr>
        <w:t>he Company is deemed to have</w:t>
      </w:r>
      <w:r>
        <w:rPr>
          <w:color w:val="000000"/>
        </w:rPr>
        <w:t xml:space="preserve"> </w:t>
      </w:r>
      <w:r>
        <w:rPr>
          <w:rFonts w:ascii="Times New Roman;serif" w:hAnsi="Times New Roman;serif"/>
          <w:b w:val="false"/>
          <w:color w:val="000000"/>
          <w:sz w:val="20"/>
        </w:rPr>
        <w:t>limited influence</w:t>
      </w:r>
      <w:r>
        <w:rPr>
          <w:color w:val="000000"/>
          <w:shd w:fill="FFFFFF" w:val="clear"/>
        </w:rPr>
        <w:t xml:space="preserve"> </w:t>
      </w:r>
      <w:r>
        <w:rPr>
          <w:rFonts w:ascii="Times New Roman;serif" w:hAnsi="Times New Roman;serif"/>
          <w:b w:val="false"/>
          <w:color w:val="000000"/>
          <w:sz w:val="20"/>
          <w:shd w:fill="FFFFFF" w:val="clear"/>
        </w:rPr>
        <w:t>over the operating and financial policies of the investee and accordingly, these investments are reported under the equity method of accounting. In applying the equity method of accounting, the investments are initially recorded at cost and are subsequently adjusted based on the Company’s proportionate share of the investee's net income or loss. Generally, the maximum exposure to loss on these interests is limited to the amount of commitment made by the Company as</w:t>
      </w:r>
      <w:r>
        <w:rPr>
          <w:color w:val="000000"/>
        </w:rPr>
        <w:t xml:space="preserve"> </w:t>
      </w:r>
      <w:r>
        <w:rPr>
          <w:rFonts w:ascii="Times New Roman;serif" w:hAnsi="Times New Roman;serif"/>
          <w:b w:val="false"/>
          <w:color w:val="000000"/>
          <w:sz w:val="20"/>
        </w:rPr>
        <w:t xml:space="preserve">more fully described in </w:t>
      </w:r>
      <w:r>
        <w:rPr>
          <w:rFonts w:ascii="Times New Roman;serif" w:hAnsi="Times New Roman;serif"/>
          <w:b w:val="false"/>
          <w:i/>
          <w:color w:val="000000"/>
          <w:sz w:val="20"/>
        </w:rPr>
        <w:t>"Note 11 - Commitments, Contingencies and Guarantees"</w:t>
      </w:r>
      <w:r>
        <w:rPr>
          <w:color w:val="000000"/>
        </w:rPr>
        <w:t xml:space="preserve"> </w:t>
      </w:r>
      <w:r>
        <w:rPr>
          <w:rFonts w:ascii="Times New Roman;serif" w:hAnsi="Times New Roman;serif"/>
          <w:b w:val="false"/>
          <w:color w:val="000000"/>
          <w:sz w:val="20"/>
        </w:rPr>
        <w:t>in these condensed consolidated financial statements.</w:t>
      </w:r>
    </w:p>
    <w:p>
      <w:pPr>
        <w:pStyle w:val="TextBody"/>
        <w:bidi w:val="0"/>
        <w:spacing w:before="0" w:after="0"/>
        <w:ind w:left="0" w:right="0" w:firstLine="270"/>
        <w:jc w:val="both"/>
        <w:rPr/>
      </w:pPr>
      <w:r>
        <w:rPr/>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table below shows the total value of the Company's equity method investments as of March 31, 2026 and December 31, 2025 including those classified as other investments under the fair value option:</w:t>
      </w:r>
    </w:p>
    <w:p>
      <w:pPr>
        <w:pStyle w:val="TextBody"/>
        <w:bidi w:val="0"/>
        <w:spacing w:before="0" w:after="0"/>
        <w:ind w:left="0" w:right="0" w:firstLine="270"/>
        <w:jc w:val="both"/>
        <w:rPr/>
      </w:pPr>
      <w:r>
        <w:rPr/>
      </w:r>
    </w:p>
    <w:tbl>
      <w:tblPr>
        <w:tblW w:w="10205" w:type="dxa"/>
        <w:jc w:val="left"/>
        <w:tblInd w:w="0" w:type="dxa"/>
        <w:tblLayout w:type="fixed"/>
        <w:tblCellMar>
          <w:top w:w="28" w:type="dxa"/>
          <w:left w:w="28" w:type="dxa"/>
          <w:bottom w:w="28" w:type="dxa"/>
          <w:right w:w="28" w:type="dxa"/>
        </w:tblCellMar>
      </w:tblPr>
      <w:tblGrid>
        <w:gridCol w:w="1540"/>
        <w:gridCol w:w="1350"/>
        <w:gridCol w:w="1355"/>
        <w:gridCol w:w="109"/>
        <w:gridCol w:w="109"/>
        <w:gridCol w:w="109"/>
        <w:gridCol w:w="225"/>
        <w:gridCol w:w="883"/>
        <w:gridCol w:w="116"/>
        <w:gridCol w:w="109"/>
        <w:gridCol w:w="109"/>
        <w:gridCol w:w="109"/>
        <w:gridCol w:w="307"/>
        <w:gridCol w:w="309"/>
        <w:gridCol w:w="455"/>
        <w:gridCol w:w="109"/>
        <w:gridCol w:w="109"/>
        <w:gridCol w:w="109"/>
        <w:gridCol w:w="225"/>
        <w:gridCol w:w="883"/>
        <w:gridCol w:w="116"/>
        <w:gridCol w:w="109"/>
        <w:gridCol w:w="109"/>
        <w:gridCol w:w="109"/>
        <w:gridCol w:w="307"/>
        <w:gridCol w:w="309"/>
        <w:gridCol w:w="517"/>
      </w:tblGrid>
      <w:tr>
        <w:trPr/>
        <w:tc>
          <w:tcPr>
            <w:tcW w:w="15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424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investments at equity method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33,543 </w:t>
            </w:r>
          </w:p>
        </w:tc>
        <w:tc>
          <w:tcPr>
            <w:tcW w:w="11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45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33,532 </w:t>
            </w:r>
          </w:p>
        </w:tc>
        <w:tc>
          <w:tcPr>
            <w:tcW w:w="11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51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ind w:left="0" w:right="0" w:hanging="36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investments at fair value option elected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36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equity method investments at fair value option elected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29,252 </w:t>
            </w:r>
          </w:p>
        </w:tc>
        <w:tc>
          <w:tcPr>
            <w:tcW w:w="11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455"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27,911 </w:t>
            </w:r>
          </w:p>
        </w:tc>
        <w:tc>
          <w:tcPr>
            <w:tcW w:w="11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517" w:type="dxa"/>
            <w:tcBorders/>
            <w:shd w:fill="CCFFCC" w:val="clear"/>
            <w:tcMar>
              <w:top w:w="0" w:type="dxa"/>
              <w:left w:w="0" w:type="dxa"/>
              <w:bottom w:w="0" w:type="dxa"/>
              <w:right w:w="0" w:type="dxa"/>
            </w:tcMar>
            <w:vAlign w:val="center"/>
          </w:tcPr>
          <w:p>
            <w:pPr>
              <w:pStyle w:val="TableContents"/>
              <w:bidi w:val="0"/>
              <w:spacing w:lineRule="auto" w:line="240" w:before="0" w:after="283"/>
              <w:ind w:left="0" w:right="0" w:hanging="36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method investments with fair value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80,252 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78,911 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36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 method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113,795 </w:t>
            </w:r>
          </w:p>
        </w:tc>
        <w:tc>
          <w:tcPr>
            <w:tcW w:w="1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5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112,443 </w:t>
            </w:r>
          </w:p>
        </w:tc>
        <w:tc>
          <w:tcPr>
            <w:tcW w:w="1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17"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120"/>
        <w:ind w:left="0" w:right="0" w:firstLine="270"/>
        <w:jc w:val="both"/>
        <w:rPr/>
      </w:pPr>
      <w:r>
        <w:rPr/>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4. Investments (continued)</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table below shows the carrying/fair values and beneficial ownership percentage of the Company's equity method investments, including those measured using the fair value option and reported in other investments, as of March 31, 2026, the summarized financial data of each equity method investment at December 31, 2025 and the Company's realized and unrealized gains (losses) or interest in income (loss) of equity method investments on these investments for the three months ended March 31, 2026:</w:t>
      </w:r>
    </w:p>
    <w:tbl>
      <w:tblPr>
        <w:tblW w:w="10205" w:type="dxa"/>
        <w:jc w:val="left"/>
        <w:tblInd w:w="0" w:type="dxa"/>
        <w:tblLayout w:type="fixed"/>
        <w:tblCellMar>
          <w:top w:w="28" w:type="dxa"/>
          <w:left w:w="28" w:type="dxa"/>
          <w:bottom w:w="28" w:type="dxa"/>
          <w:right w:w="28" w:type="dxa"/>
        </w:tblCellMar>
      </w:tblPr>
      <w:tblGrid>
        <w:gridCol w:w="656"/>
        <w:gridCol w:w="533"/>
        <w:gridCol w:w="534"/>
        <w:gridCol w:w="109"/>
        <w:gridCol w:w="109"/>
        <w:gridCol w:w="109"/>
        <w:gridCol w:w="216"/>
        <w:gridCol w:w="849"/>
        <w:gridCol w:w="111"/>
        <w:gridCol w:w="109"/>
        <w:gridCol w:w="109"/>
        <w:gridCol w:w="109"/>
        <w:gridCol w:w="333"/>
        <w:gridCol w:w="254"/>
        <w:gridCol w:w="635"/>
        <w:gridCol w:w="109"/>
        <w:gridCol w:w="109"/>
        <w:gridCol w:w="109"/>
        <w:gridCol w:w="109"/>
        <w:gridCol w:w="109"/>
        <w:gridCol w:w="250"/>
        <w:gridCol w:w="730"/>
        <w:gridCol w:w="129"/>
        <w:gridCol w:w="121"/>
        <w:gridCol w:w="121"/>
        <w:gridCol w:w="121"/>
        <w:gridCol w:w="292"/>
        <w:gridCol w:w="855"/>
        <w:gridCol w:w="151"/>
        <w:gridCol w:w="109"/>
        <w:gridCol w:w="109"/>
        <w:gridCol w:w="109"/>
        <w:gridCol w:w="382"/>
        <w:gridCol w:w="1116"/>
        <w:gridCol w:w="290"/>
      </w:tblGrid>
      <w:tr>
        <w:trPr/>
        <w:tc>
          <w:tcPr>
            <w:tcW w:w="65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7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Three Months Ended March 31, 2026</w:t>
            </w:r>
          </w:p>
        </w:tc>
      </w:tr>
      <w:tr>
        <w:trPr/>
        <w:tc>
          <w:tcPr>
            <w:tcW w:w="1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Beneficial Ownership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Investee Revenue</w:t>
            </w:r>
            <w:r>
              <w:rPr>
                <w:rFonts w:ascii="Times New Roman;serif" w:hAnsi="Times New Roman;serif"/>
                <w:b/>
                <w:color w:val="000000"/>
                <w:sz w:val="10"/>
              </w:rPr>
              <w:t>(1)</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Investee net income (loss)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Realized and unrealized gains (losses)</w:t>
            </w:r>
            <w:r>
              <w:rPr>
                <w:rFonts w:ascii="Times New Roman;serif" w:hAnsi="Times New Roman;serif"/>
                <w:b/>
                <w:color w:val="000000"/>
                <w:sz w:val="10"/>
              </w:rPr>
              <w:t>(2)(3)</w:t>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8"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Silverstone Venture 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1,930 </w:t>
            </w:r>
          </w:p>
        </w:tc>
        <w:tc>
          <w:tcPr>
            <w:tcW w:w="11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63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3,933 </w:t>
            </w:r>
          </w:p>
        </w:tc>
        <w:tc>
          <w:tcPr>
            <w:tcW w:w="12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15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29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Silverstone Venture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3"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Silverstone Venture 3</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22,393 </w:t>
            </w:r>
          </w:p>
        </w:tc>
        <w:tc>
          <w:tcPr>
            <w:tcW w:w="11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635"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2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1,808 </w:t>
            </w:r>
          </w:p>
        </w:tc>
        <w:tc>
          <w:tcPr>
            <w:tcW w:w="29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Extell Hudson Waterfront 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3"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Seiden LP &amp; Seiden MGMT LP</w:t>
            </w:r>
            <w:r>
              <w:rPr>
                <w:rFonts w:ascii="Times New Roman;serif" w:hAnsi="Times New Roman;serif"/>
                <w:b w:val="false"/>
                <w:color w:val="000000"/>
                <w:sz w:val="13"/>
              </w:rPr>
              <w:t>(3)</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33,543 </w:t>
            </w:r>
          </w:p>
        </w:tc>
        <w:tc>
          <w:tcPr>
            <w:tcW w:w="11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635"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2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5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90" w:type="dxa"/>
            <w:tcBorders/>
            <w:shd w:fill="CCFFCC"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113,795 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60"/>
        <w:ind w:left="0" w:right="0" w:hanging="180"/>
        <w:jc w:val="both"/>
        <w:rPr/>
      </w:pPr>
      <w:r>
        <w:rPr>
          <w:rFonts w:ascii="Times New Roman;serif" w:hAnsi="Times New Roman;serif"/>
          <w:b w:val="false"/>
          <w:color w:val="000000"/>
          <w:sz w:val="16"/>
          <w:shd w:fill="FFFFFF" w:val="clear"/>
        </w:rPr>
        <w:t>1.The Company inclu</w:t>
      </w:r>
      <w:r>
        <w:rPr>
          <w:rFonts w:ascii="Times New Roman;serif" w:hAnsi="Times New Roman;serif"/>
          <w:b w:val="false"/>
          <w:color w:val="000000"/>
          <w:sz w:val="16"/>
        </w:rPr>
        <w:t>ded summarized financial data of its equity method investees as reported at December 31, 2025 as this period represents the most recent audited financial statements available at the time of filing the Company's Form 10-Q for the three months ended March 31, 2026.</w:t>
      </w:r>
    </w:p>
    <w:p>
      <w:pPr>
        <w:pStyle w:val="TextBody"/>
        <w:bidi w:val="0"/>
        <w:spacing w:lineRule="auto" w:line="240" w:before="0" w:after="6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2.Fair value adjustments have been recorded under realized and unrealized gains (losses) for those equity method investments reported at fair value.</w:t>
      </w:r>
    </w:p>
    <w:p>
      <w:pPr>
        <w:pStyle w:val="TextBody"/>
        <w:bidi w:val="0"/>
        <w:spacing w:lineRule="auto" w:line="240" w:before="0" w:after="6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3.Seiden LP and Seiden MGMT LP are measured using equity method accounting at March 31, 2026. The interest in loss of equity method investments has been recorded on its own line item on the statements of operations instead of through realized and unrealized gains (losses).</w:t>
      </w:r>
    </w:p>
    <w:p>
      <w:pPr>
        <w:pStyle w:val="TextBody"/>
        <w:bidi w:val="0"/>
        <w:spacing w:before="0" w:after="60"/>
        <w:ind w:left="0" w:right="0" w:firstLine="180"/>
        <w:jc w:val="both"/>
        <w:rPr/>
      </w:pPr>
      <w:r>
        <w:rPr/>
      </w:r>
    </w:p>
    <w:p>
      <w:pPr>
        <w:pStyle w:val="TextBody"/>
        <w:bidi w:val="0"/>
        <w:spacing w:lineRule="auto" w:line="240" w:before="0" w:after="120"/>
        <w:ind w:left="0" w:right="0" w:hanging="270"/>
        <w:jc w:val="left"/>
        <w:rPr>
          <w:rFonts w:ascii="Times New Roman;serif" w:hAnsi="Times New Roman;serif"/>
          <w:b/>
          <w:i/>
          <w:color w:val="000000"/>
          <w:sz w:val="20"/>
        </w:rPr>
      </w:pPr>
      <w:r>
        <w:rPr>
          <w:rFonts w:ascii="Times New Roman;serif" w:hAnsi="Times New Roman;serif"/>
          <w:b/>
          <w:i/>
          <w:color w:val="000000"/>
          <w:sz w:val="20"/>
        </w:rPr>
        <w:t xml:space="preserve">c)Net Investment Income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investment income was derived from the following sources for the three months ended March 31, 2026 and 2025: </w:t>
      </w:r>
    </w:p>
    <w:tbl>
      <w:tblPr>
        <w:tblW w:w="9171" w:type="dxa"/>
        <w:jc w:val="left"/>
        <w:tblInd w:w="0" w:type="dxa"/>
        <w:tblLayout w:type="fixed"/>
        <w:tblCellMar>
          <w:top w:w="28" w:type="dxa"/>
          <w:left w:w="28" w:type="dxa"/>
          <w:bottom w:w="28" w:type="dxa"/>
          <w:right w:w="28" w:type="dxa"/>
        </w:tblCellMar>
      </w:tblPr>
      <w:tblGrid>
        <w:gridCol w:w="1644"/>
        <w:gridCol w:w="1446"/>
        <w:gridCol w:w="1454"/>
        <w:gridCol w:w="109"/>
        <w:gridCol w:w="109"/>
        <w:gridCol w:w="109"/>
        <w:gridCol w:w="109"/>
        <w:gridCol w:w="109"/>
        <w:gridCol w:w="282"/>
        <w:gridCol w:w="282"/>
        <w:gridCol w:w="545"/>
        <w:gridCol w:w="1593"/>
        <w:gridCol w:w="282"/>
        <w:gridCol w:w="109"/>
        <w:gridCol w:w="109"/>
        <w:gridCol w:w="109"/>
        <w:gridCol w:w="211"/>
        <w:gridCol w:w="406"/>
        <w:gridCol w:w="154"/>
      </w:tblGrid>
      <w:tr>
        <w:trPr/>
        <w:tc>
          <w:tcPr>
            <w:tcW w:w="1644"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098" w:type="dxa"/>
            <w:gridSpan w:val="6"/>
            <w:tcBorders/>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4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Fixed maturities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28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on funds withheld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54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from net loan receivable from AmTrust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3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28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54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3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28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Investment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3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28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Net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2,577 </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00" w:after="120"/>
        <w:ind w:left="0" w:right="0" w:hanging="270"/>
        <w:jc w:val="left"/>
        <w:rPr/>
      </w:pPr>
      <w:r>
        <w:rPr>
          <w:rFonts w:ascii="Times New Roman;serif" w:hAnsi="Times New Roman;serif"/>
          <w:b/>
          <w:i/>
          <w:color w:val="000000"/>
          <w:sz w:val="20"/>
          <w:shd w:fill="FFFFFF" w:val="clear"/>
        </w:rPr>
        <w:t>d)</w:t>
      </w:r>
      <w:r>
        <w:rPr>
          <w:rFonts w:ascii="Times New Roman;serif" w:hAnsi="Times New Roman;serif"/>
          <w:b/>
          <w:i/>
          <w:color w:val="000000"/>
          <w:sz w:val="20"/>
        </w:rPr>
        <w:t>Net Realized and Unrealized Investment Gains (Losses)</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Realized gains or losses on the sale of investments are determined on the basis of the specific identification method. The following tables show the net realized and unrealized investment gains (losses) included in the Condensed Consolidated Statements of Operations for the three months ended March 31, 2026:</w:t>
      </w:r>
    </w:p>
    <w:tbl>
      <w:tblPr>
        <w:tblW w:w="8462" w:type="dxa"/>
        <w:jc w:val="left"/>
        <w:tblInd w:w="0" w:type="dxa"/>
        <w:tblLayout w:type="fixed"/>
        <w:tblCellMar>
          <w:top w:w="28" w:type="dxa"/>
          <w:left w:w="28" w:type="dxa"/>
          <w:bottom w:w="28" w:type="dxa"/>
          <w:right w:w="28" w:type="dxa"/>
        </w:tblCellMar>
      </w:tblPr>
      <w:tblGrid>
        <w:gridCol w:w="1643"/>
        <w:gridCol w:w="1444"/>
        <w:gridCol w:w="1457"/>
        <w:gridCol w:w="109"/>
        <w:gridCol w:w="109"/>
        <w:gridCol w:w="109"/>
        <w:gridCol w:w="213"/>
        <w:gridCol w:w="622"/>
        <w:gridCol w:w="110"/>
        <w:gridCol w:w="109"/>
        <w:gridCol w:w="109"/>
        <w:gridCol w:w="109"/>
        <w:gridCol w:w="211"/>
        <w:gridCol w:w="691"/>
        <w:gridCol w:w="109"/>
        <w:gridCol w:w="109"/>
        <w:gridCol w:w="109"/>
        <w:gridCol w:w="109"/>
        <w:gridCol w:w="211"/>
        <w:gridCol w:w="616"/>
        <w:gridCol w:w="154"/>
      </w:tblGrid>
      <w:tr>
        <w:trPr/>
        <w:tc>
          <w:tcPr>
            <w:tcW w:w="1643"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4544"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Fixed maturities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1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54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realized and unrealized investment gains (losses)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3,729 </w:t>
            </w:r>
          </w:p>
        </w:tc>
        <w:tc>
          <w:tcPr>
            <w:tcW w:w="11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1,339 </w:t>
            </w:r>
          </w:p>
        </w:tc>
        <w:tc>
          <w:tcPr>
            <w:tcW w:w="15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270"/>
        <w:jc w:val="both"/>
        <w:rPr/>
      </w:pPr>
      <w:r>
        <w:rPr/>
      </w:r>
    </w:p>
    <w:tbl>
      <w:tblPr>
        <w:tblW w:w="4492" w:type="dxa"/>
        <w:jc w:val="left"/>
        <w:tblInd w:w="0" w:type="dxa"/>
        <w:tblLayout w:type="fixed"/>
        <w:tblCellMar>
          <w:top w:w="28" w:type="dxa"/>
          <w:left w:w="28" w:type="dxa"/>
          <w:bottom w:w="28" w:type="dxa"/>
          <w:right w:w="28" w:type="dxa"/>
        </w:tblCellMar>
      </w:tblPr>
      <w:tblGrid>
        <w:gridCol w:w="1085"/>
        <w:gridCol w:w="953"/>
        <w:gridCol w:w="962"/>
        <w:gridCol w:w="109"/>
        <w:gridCol w:w="109"/>
        <w:gridCol w:w="109"/>
        <w:gridCol w:w="155"/>
        <w:gridCol w:w="155"/>
        <w:gridCol w:w="156"/>
        <w:gridCol w:w="109"/>
        <w:gridCol w:w="109"/>
        <w:gridCol w:w="109"/>
        <w:gridCol w:w="109"/>
        <w:gridCol w:w="109"/>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16"/>
              </w:rPr>
            </w:pPr>
            <w:r>
              <w:rPr>
                <w:rFonts w:ascii="Times New Roman;serif" w:hAnsi="Times New Roman;serif"/>
                <w:b/>
                <w:color w:val="FFFFFF"/>
                <w:sz w:val="16"/>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270"/>
        <w:jc w:val="both"/>
        <w:rPr/>
      </w:pPr>
      <w:r>
        <w:rPr/>
      </w:r>
    </w:p>
    <w:p>
      <w:pPr>
        <w:pStyle w:val="TextBody"/>
        <w:bidi w:val="0"/>
        <w:spacing w:before="120" w:after="12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120" w:after="120"/>
        <w:jc w:val="both"/>
        <w:rPr>
          <w:rFonts w:ascii="Times New Roman;serif" w:hAnsi="Times New Roman;serif"/>
          <w:b/>
          <w:color w:val="000000"/>
          <w:sz w:val="20"/>
        </w:rPr>
      </w:pPr>
      <w:r>
        <w:rPr>
          <w:rFonts w:ascii="Times New Roman;serif" w:hAnsi="Times New Roman;serif"/>
          <w:b/>
          <w:color w:val="000000"/>
          <w:sz w:val="20"/>
        </w:rPr>
        <w:t>4. Investments (continued)</w:t>
      </w:r>
    </w:p>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Proceeds from sales of AFS fixed maturity investments were $38,117 for the three months ended March 31, 2026. Net unrealized gains included in accumulated other comprehensive income ("AOCI") at March 31, 2026 and December 31, 2025 were as follows:</w:t>
      </w:r>
    </w:p>
    <w:tbl>
      <w:tblPr>
        <w:tblW w:w="7989" w:type="dxa"/>
        <w:jc w:val="center"/>
        <w:tblInd w:w="0" w:type="dxa"/>
        <w:tblLayout w:type="fixed"/>
        <w:tblCellMar>
          <w:top w:w="28" w:type="dxa"/>
          <w:left w:w="28" w:type="dxa"/>
          <w:bottom w:w="28" w:type="dxa"/>
          <w:right w:w="28" w:type="dxa"/>
        </w:tblCellMar>
      </w:tblPr>
      <w:tblGrid>
        <w:gridCol w:w="1641"/>
        <w:gridCol w:w="1442"/>
        <w:gridCol w:w="1447"/>
        <w:gridCol w:w="109"/>
        <w:gridCol w:w="109"/>
        <w:gridCol w:w="109"/>
        <w:gridCol w:w="309"/>
        <w:gridCol w:w="792"/>
        <w:gridCol w:w="159"/>
        <w:gridCol w:w="109"/>
        <w:gridCol w:w="109"/>
        <w:gridCol w:w="109"/>
        <w:gridCol w:w="392"/>
        <w:gridCol w:w="866"/>
        <w:gridCol w:w="287"/>
      </w:tblGrid>
      <w:tr>
        <w:trPr/>
        <w:tc>
          <w:tcPr>
            <w:tcW w:w="1641"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53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unrealized gains on fixed maturity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28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unrealized losses on held for sale AFS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unrealized gains, net of deferred income tax</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28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Change, net of deferred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28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00" w:after="120"/>
        <w:ind w:left="0" w:right="0" w:hanging="270"/>
        <w:jc w:val="left"/>
        <w:rPr>
          <w:rFonts w:ascii="Times New Roman;serif" w:hAnsi="Times New Roman;serif"/>
          <w:b/>
          <w:i/>
          <w:color w:val="000000"/>
          <w:sz w:val="20"/>
        </w:rPr>
      </w:pPr>
      <w:r>
        <w:rPr>
          <w:rFonts w:ascii="Times New Roman;serif" w:hAnsi="Times New Roman;serif"/>
          <w:b/>
          <w:i/>
          <w:color w:val="000000"/>
          <w:sz w:val="20"/>
        </w:rPr>
        <w:t xml:space="preserve">e)Restricted Cash and Cash Equivalents and Investments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is required to provide collateral for its reinsurance liabilities under various reinsurance agreements and utilizes trust accounts to collateralize business with reinsurance counterparties. The assets in trust as collateral are primarily cash and highly rated fixed maturities. The fair values of the Company's restricted assets at March 31, 2026 and December 31, 2025 are as follows:</w:t>
      </w:r>
    </w:p>
    <w:tbl>
      <w:tblPr>
        <w:tblW w:w="10205" w:type="dxa"/>
        <w:jc w:val="left"/>
        <w:tblInd w:w="0" w:type="dxa"/>
        <w:tblLayout w:type="fixed"/>
        <w:tblCellMar>
          <w:top w:w="28" w:type="dxa"/>
          <w:left w:w="28" w:type="dxa"/>
          <w:bottom w:w="28" w:type="dxa"/>
          <w:right w:w="28" w:type="dxa"/>
        </w:tblCellMar>
      </w:tblPr>
      <w:tblGrid>
        <w:gridCol w:w="2606"/>
        <w:gridCol w:w="2150"/>
        <w:gridCol w:w="2164"/>
        <w:gridCol w:w="109"/>
        <w:gridCol w:w="109"/>
        <w:gridCol w:w="109"/>
        <w:gridCol w:w="224"/>
        <w:gridCol w:w="877"/>
        <w:gridCol w:w="115"/>
        <w:gridCol w:w="109"/>
        <w:gridCol w:w="109"/>
        <w:gridCol w:w="109"/>
        <w:gridCol w:w="249"/>
        <w:gridCol w:w="980"/>
        <w:gridCol w:w="186"/>
      </w:tblGrid>
      <w:tr>
        <w:trPr/>
        <w:tc>
          <w:tcPr>
            <w:tcW w:w="2606"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6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92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Restricted cash – third party agreements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44,863 </w:t>
            </w:r>
          </w:p>
        </w:tc>
        <w:tc>
          <w:tcPr>
            <w:tcW w:w="11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7,767 </w:t>
            </w:r>
          </w:p>
        </w:tc>
        <w:tc>
          <w:tcPr>
            <w:tcW w:w="18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Restricted cash – related party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186"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92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restricted cash</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47,159 </w:t>
            </w:r>
          </w:p>
        </w:tc>
        <w:tc>
          <w:tcPr>
            <w:tcW w:w="11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9,146 </w:t>
            </w:r>
          </w:p>
        </w:tc>
        <w:tc>
          <w:tcPr>
            <w:tcW w:w="18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investments – in trust for third party agreements at fair value (amortized cost 2026: $12,095; 2025: $51,927)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52,350 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investments – in trust for related party agreements at fair value (amortized cost 2026: $100,300; 2025: $102,313)</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99,976 </w:t>
            </w:r>
          </w:p>
        </w:tc>
        <w:tc>
          <w:tcPr>
            <w:tcW w:w="11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102,368 </w:t>
            </w:r>
          </w:p>
        </w:tc>
        <w:tc>
          <w:tcPr>
            <w:tcW w:w="18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restricted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112,344 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154,718 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Total restricted cash and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159,503 </w:t>
            </w:r>
          </w:p>
        </w:tc>
        <w:tc>
          <w:tcPr>
            <w:tcW w:w="11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163,864 </w:t>
            </w:r>
          </w:p>
        </w:tc>
        <w:tc>
          <w:tcPr>
            <w:tcW w:w="18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200" w:after="120"/>
        <w:jc w:val="both"/>
        <w:rPr>
          <w:rFonts w:ascii="Times New Roman;serif" w:hAnsi="Times New Roman;serif"/>
          <w:b/>
          <w:color w:val="000000"/>
          <w:sz w:val="20"/>
        </w:rPr>
      </w:pPr>
      <w:r>
        <w:rPr>
          <w:rFonts w:ascii="Times New Roman;serif" w:hAnsi="Times New Roman;serif"/>
          <w:b/>
          <w:color w:val="000000"/>
          <w:sz w:val="20"/>
        </w:rPr>
        <w:t>5. Fair Value of Financial Instruments</w:t>
      </w:r>
    </w:p>
    <w:p>
      <w:pPr>
        <w:pStyle w:val="TextBody"/>
        <w:bidi w:val="0"/>
        <w:spacing w:lineRule="auto" w:line="240" w:before="0" w:after="120"/>
        <w:ind w:left="0" w:right="0" w:hanging="270"/>
        <w:jc w:val="left"/>
        <w:rPr>
          <w:rFonts w:ascii="Times New Roman;serif" w:hAnsi="Times New Roman;serif"/>
          <w:b/>
          <w:i/>
          <w:color w:val="000000"/>
          <w:sz w:val="20"/>
        </w:rPr>
      </w:pPr>
      <w:r>
        <w:rPr>
          <w:rFonts w:ascii="Times New Roman;serif" w:hAnsi="Times New Roman;serif"/>
          <w:b/>
          <w:i/>
          <w:color w:val="000000"/>
          <w:sz w:val="20"/>
        </w:rPr>
        <w:t>(a) Fair Values of Financial Instruments</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 xml:space="preserve">Fair Value Measurements </w:t>
      </w:r>
      <w:r>
        <w:rPr>
          <w:color w:val="000000"/>
        </w:rPr>
        <w:t xml:space="preserve">— </w:t>
      </w:r>
      <w:r>
        <w:rPr>
          <w:rFonts w:ascii="Times New Roman;serif" w:hAnsi="Times New Roman;serif"/>
          <w:b w:val="false"/>
          <w:color w:val="000000"/>
          <w:sz w:val="20"/>
        </w:rPr>
        <w:t xml:space="preserve">Accounting Standards Codification Topic 820, </w:t>
      </w:r>
      <w:r>
        <w:rPr>
          <w:rFonts w:ascii="Times New Roman;serif" w:hAnsi="Times New Roman;serif"/>
          <w:b w:val="false"/>
          <w:i/>
          <w:color w:val="000000"/>
          <w:sz w:val="20"/>
        </w:rPr>
        <w:t>"Fair Value Measurements and Disclosures"</w:t>
      </w:r>
      <w:r>
        <w:rPr>
          <w:color w:val="000000"/>
        </w:rPr>
        <w:t xml:space="preserve"> </w:t>
      </w:r>
      <w:r>
        <w:rPr>
          <w:rFonts w:ascii="Times New Roman;serif" w:hAnsi="Times New Roman;serif"/>
          <w:b w:val="false"/>
          <w:color w:val="000000"/>
          <w:sz w:val="20"/>
        </w:rPr>
        <w:t>("ASC 820") defines fair value as the price that would be received upon the sale of an asset or paid to transfer a liability in an orderly transaction between open market participants at the measurement date. Additionally, ASC 820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w:t>
      </w:r>
    </w:p>
    <w:p>
      <w:pPr>
        <w:pStyle w:val="TextBody"/>
        <w:bidi w:val="0"/>
        <w:spacing w:lineRule="auto" w:line="240" w:before="0" w:after="120"/>
        <w:ind w:left="0" w:right="0" w:hanging="450"/>
        <w:jc w:val="both"/>
        <w:rPr/>
      </w:pPr>
      <w:r>
        <w:rPr>
          <w:color w:val="000000"/>
        </w:rPr>
        <w:t>•</w:t>
      </w:r>
      <w:r>
        <w:rPr>
          <w:rFonts w:ascii="Times New Roman;serif" w:hAnsi="Times New Roman;serif"/>
          <w:b w:val="false"/>
          <w:i/>
          <w:color w:val="000000"/>
          <w:sz w:val="20"/>
        </w:rPr>
        <w:t>Level 1</w:t>
      </w:r>
      <w:r>
        <w:rPr>
          <w:color w:val="000000"/>
        </w:rPr>
        <w:t> — </w:t>
      </w:r>
      <w:r>
        <w:rPr>
          <w:rFonts w:ascii="Times New Roman;serif" w:hAnsi="Times New Roman;serif"/>
          <w:b w:val="false"/>
          <w:color w:val="000000"/>
          <w:sz w:val="20"/>
        </w:rPr>
        <w:t>Valuations based on unadjusted quoted market prices for identical assets or liabilities that we have the ability to access. Because valuations are based on quoted prices that are readily and regularly available in an active market, valuation of these products does not entail a significant degree of judgment. Examples of assets and liabilities utilizing Level 1 inputs include: U.S. Treasury bonds; and publicly traded equity securities;</w:t>
      </w:r>
    </w:p>
    <w:p>
      <w:pPr>
        <w:pStyle w:val="TextBody"/>
        <w:bidi w:val="0"/>
        <w:spacing w:lineRule="auto" w:line="240" w:before="0" w:after="120"/>
        <w:ind w:left="0" w:right="0" w:hanging="450"/>
        <w:jc w:val="both"/>
        <w:rPr/>
      </w:pPr>
      <w:r>
        <w:rPr>
          <w:color w:val="000000"/>
        </w:rPr>
        <w:t>•</w:t>
      </w:r>
      <w:r>
        <w:rPr>
          <w:rFonts w:ascii="Times New Roman;serif" w:hAnsi="Times New Roman;serif"/>
          <w:b w:val="false"/>
          <w:i/>
          <w:color w:val="000000"/>
          <w:sz w:val="20"/>
        </w:rPr>
        <w:t>Level 2</w:t>
      </w:r>
      <w:r>
        <w:rPr>
          <w:color w:val="000000"/>
        </w:rPr>
        <w:t> — </w:t>
      </w:r>
      <w:r>
        <w:rPr>
          <w:rFonts w:ascii="Times New Roman;serif" w:hAnsi="Times New Roman;serif"/>
          <w:b w:val="false"/>
          <w:color w:val="000000"/>
          <w:sz w:val="20"/>
        </w:rPr>
        <w:t>Valuations based on quoted prices for similar assets or liabilities in active markets, quoted prices for identical assets or liabilities in inactive markets, or valuations based on models where the significant inputs are observable (e.g. interest rates, yield curves, prepayment speeds, default rates, loss severity, etc.) or can be corroborated by observable market data. Examples of assets and liabilities utilizing Level 2 inputs include: U.S. government-sponsored agency securities; non-U.S. government and supranational obligations; commercial mortgage-backed securities ("CMBS"); collateralized loan obligations ("CLO"); corporate and municipal bonds; and</w:t>
      </w:r>
    </w:p>
    <w:p>
      <w:pPr>
        <w:pStyle w:val="TextBody"/>
        <w:bidi w:val="0"/>
        <w:spacing w:lineRule="auto" w:line="240" w:before="0" w:after="120"/>
        <w:ind w:left="0" w:right="0" w:hanging="450"/>
        <w:jc w:val="both"/>
        <w:rPr/>
      </w:pPr>
      <w:r>
        <w:rPr>
          <w:color w:val="000000"/>
        </w:rPr>
        <w:t>•</w:t>
      </w:r>
      <w:r>
        <w:rPr>
          <w:rFonts w:ascii="Times New Roman;serif" w:hAnsi="Times New Roman;serif"/>
          <w:b w:val="false"/>
          <w:i/>
          <w:color w:val="000000"/>
          <w:sz w:val="20"/>
        </w:rPr>
        <w:t>Level 3</w:t>
      </w:r>
      <w:r>
        <w:rPr>
          <w:color w:val="000000"/>
        </w:rPr>
        <w:t> — </w:t>
      </w:r>
      <w:r>
        <w:rPr>
          <w:rFonts w:ascii="Times New Roman;serif" w:hAnsi="Times New Roman;serif"/>
          <w:b w:val="false"/>
          <w:color w:val="000000"/>
          <w:sz w:val="20"/>
        </w:rPr>
        <w:t>Valuations based on models where significant inputs are not observable. The unobservable inputs reflect the Company's own assumptions about assumptions that market participants would use developed on the basis of the best information available in the particular circumstances. Examples of assets and liabilities utilizing Level 3 inputs include: an investment in preference shares of a start-up insurance producer.</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availability of observable inputs can vary and is affected by a wide variety of factors, including, for example, the type of financial instrument, whether the financial instrument is new and not yet established in the marketplace, and other characteristics particular to the transaction. To the extent that valuation is based on models or inputs that are less observable or unobservable in the market, the determination of fair value requires significantly more judgment. Accordingly, the degree of judgment exercised by management in determining fair value is greatest for instruments categorized in the Level 3 hierarchy.</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prices and inputs that are current as at the measurement date. In periods of market dislocation, the observability of prices and inputs may be reduced for many instruments. This condition could cause an instrument to be reclassified between hierarchy levels.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investments that have quoted market prices in active markets, the Company uses the quoted market prices as fair value and includes these in the Level 1 hierarchy. The Company receives the quoted market prices from a third party nationally recognized provider ("the Pricing Service"). When quoted market prices are unavailable, the Company utilizes the Pricing Service to determine an estimate of fair value. The fair value estimates are included in the Level 2 hierarchy. The Company will challenge any prices for its investments which are considered not to be representative of fair value.</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If quoted market prices and an estimate from the Pricing Service are unavailable, the Company produces an estimate of fair value based on dealer quotations for recent activity in positions with the same or similar characteristics to that being valued. The Company determines whether the fair value estimate is in the Level 2 or Level 3 hierarchy depending on the level of observable inputs available when estimating the fair value. The Company bases its estimates of fair values for assets on the bid price as it represents what a third party market participant would be willing to pay in an orderly transaction.</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ASC 825, </w:t>
      </w:r>
      <w:r>
        <w:rPr>
          <w:rFonts w:ascii="Times New Roman;serif" w:hAnsi="Times New Roman;serif"/>
          <w:b w:val="false"/>
          <w:i/>
          <w:color w:val="000000"/>
          <w:sz w:val="20"/>
        </w:rPr>
        <w:t>"Disclosure About Fair Value of Financial Instruments"</w:t>
      </w:r>
      <w:r>
        <w:rPr>
          <w:rFonts w:ascii="Times New Roman;serif" w:hAnsi="Times New Roman;serif"/>
          <w:b w:val="false"/>
          <w:color w:val="000000"/>
          <w:sz w:val="20"/>
        </w:rPr>
        <w:t xml:space="preserve">, requires all entities to disclose the fair value of their financial instruments for assets and liabilities recognized and not recognized in the balance sheet, for which it is practicable to estimate fair value. The following describes the valuation techniques used by the Company to determine the fair value of financial instruments that are measured at fair value on a recurring basis held at March 31, 2026. </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 xml:space="preserve">U.S. government and U.S. agency bonds: </w:t>
      </w:r>
      <w:r>
        <w:rPr>
          <w:rFonts w:ascii="Times New Roman;serif" w:hAnsi="Times New Roman;serif"/>
          <w:b w:val="false"/>
          <w:color w:val="000000"/>
          <w:sz w:val="20"/>
        </w:rPr>
        <w:t>Bonds issued by the U.S. Treasury, the Federal Home Loan Bank, the Federal Home Loan Mortgage Corporation, Government National Mortgage Association, Federal National Mortgage Association and the Federal Farm Credit Banks Funding Corporation. The fair values of U.S. treasury bonds are based on quoted market prices in active markets, and are included in the Level 1 fair value hierarchy. We believe the market for U.S. treasury bonds is an actively traded market given the high level of daily trading volume. The fair values of U.S. agency bonds are determined using the spread above the risk-free yield curve. As the yields for the risk-free yield curve and the spreads for these securities are observable market inputs, the fair values of U.S. agency bonds are included in the Level 2 fair value hierarchy.</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Non-U.S. government bonds:</w:t>
      </w:r>
      <w:r>
        <w:rPr>
          <w:color w:val="000000"/>
        </w:rPr>
        <w:t xml:space="preserve"> </w:t>
      </w:r>
      <w:r>
        <w:rPr>
          <w:rFonts w:ascii="Times New Roman;serif" w:hAnsi="Times New Roman;serif"/>
          <w:b w:val="false"/>
          <w:color w:val="000000"/>
          <w:sz w:val="20"/>
        </w:rPr>
        <w:t>These securities are generally priced by independent pricing services. The Pricing Service may use current market trades for securities with similar quality, maturity and coupon. If no such trades are available, the Pricing Service typically uses analytical models which may incorporate spreads, interest rate data and market/sector news. As the significant inputs used to price non-U.S. government bonds are observable market inputs, the fair values of non-U.S. government bonds are included in the Level 2 fair value hierarchy.</w:t>
      </w:r>
    </w:p>
    <w:p>
      <w:pPr>
        <w:pStyle w:val="TextBody"/>
        <w:bidi w:val="0"/>
        <w:spacing w:before="0" w:after="120"/>
        <w:ind w:left="0" w:right="0" w:firstLine="270"/>
        <w:jc w:val="both"/>
        <w:rPr/>
      </w:pPr>
      <w:r>
        <w:rPr/>
      </w:r>
    </w:p>
    <w:p>
      <w:pPr>
        <w:pStyle w:val="TextBody"/>
        <w:bidi w:val="0"/>
        <w:spacing w:before="0" w:after="120"/>
        <w:ind w:left="0" w:right="0" w:firstLine="270"/>
        <w:jc w:val="both"/>
        <w:rPr/>
      </w:pPr>
      <w:r>
        <w:rPr/>
      </w:r>
    </w:p>
    <w:p>
      <w:pPr>
        <w:pStyle w:val="TextBody"/>
        <w:bidi w:val="0"/>
        <w:spacing w:before="0" w:after="12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5. Fair Value of Financial Instruments (continued)</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Collateralized loan obligations</w:t>
      </w:r>
      <w:r>
        <w:rPr>
          <w:color w:val="000000"/>
        </w:rPr>
        <w:t xml:space="preserve"> </w:t>
      </w:r>
      <w:r>
        <w:rPr>
          <w:rFonts w:ascii="Times New Roman;serif" w:hAnsi="Times New Roman;serif"/>
          <w:b w:val="false"/>
          <w:color w:val="000000"/>
          <w:sz w:val="20"/>
        </w:rPr>
        <w:t>("CLO"): These asset backed securities are originated by a variety of financial institutions that on acquisition are rated BBB-/Baa3 or higher. These securities are priced by independent pricing services and brokers. The pricing provider applies dealer quotes and other available trade information, prepayment speeds, yield curves and credit spreads to the valuation. As the significant inputs used to price the CLO are observable market inputs, the fair values are included in the Level 2 fair value hierarchy.</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Commercial mortgage-backed securities</w:t>
      </w:r>
      <w:r>
        <w:rPr>
          <w:color w:val="000000"/>
        </w:rPr>
        <w:t xml:space="preserve"> </w:t>
      </w:r>
      <w:r>
        <w:rPr>
          <w:rFonts w:ascii="Times New Roman;serif" w:hAnsi="Times New Roman;serif"/>
          <w:b w:val="false"/>
          <w:color w:val="000000"/>
          <w:sz w:val="20"/>
        </w:rPr>
        <w:t>("CMBS"): These asset backed securities are originated by a variety of financial institutions that on acquisition are rated BBB-/Baa3 or higher. These securities are priced by independent pricing services and brokers. The pricing provider applies dealer quotes and other available trade information, prepayment speeds, yield curves and credit spreads to the valuation. As the significant inputs used to price the CMBS are observable market inputs, the fair values are included in the Level 2 fair value hierarchy.</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Corporate and municipal bonds:</w:t>
      </w:r>
      <w:r>
        <w:rPr>
          <w:color w:val="000000"/>
        </w:rPr>
        <w:t> </w:t>
      </w:r>
      <w:r>
        <w:rPr>
          <w:rFonts w:ascii="Times New Roman;serif" w:hAnsi="Times New Roman;serif"/>
          <w:b w:val="false"/>
          <w:color w:val="000000"/>
          <w:sz w:val="20"/>
        </w:rPr>
        <w:t>Bonds issued by corporations, U.S. state and municipality entities or agencies that on acquisition are rated BBB-/Baa3 or higher. These securities are generally priced by independent pricing services. The credit spreads are sourced from broker/dealers, trade prices and new issue market. Where pricing is unavailable from pricing services, custodian pricing or non-binding quotes are obtained from broker-dealers to estimate fair values. As significant inputs used to price corporate and municipal bonds are observable market inputs, fair values are included in the Level 2 fair value hierarchy.</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Equity securities:</w:t>
      </w:r>
      <w:r>
        <w:rPr>
          <w:color w:val="000000"/>
        </w:rPr>
        <w:t xml:space="preserve"> </w:t>
      </w:r>
      <w:r>
        <w:rPr>
          <w:rFonts w:ascii="Times New Roman;serif" w:hAnsi="Times New Roman;serif"/>
          <w:b w:val="false"/>
          <w:color w:val="000000"/>
          <w:sz w:val="20"/>
        </w:rPr>
        <w:t>Equity securities can include both publicly traded and privately held common and preferred stocks. The fair value of publicly traded common and preferred stocks is primarily priced by pricing services, reflecting the closing price quoted for the final trading day of the period. These investments are carried at fair value using observable market pricing data and is included in the Level 1 fair value hierarchy. Any unrealized gains or losses on the investment is recorded in net income in the reporting period in which it occurs. The privately held common and preferred stocks are valued using significant inputs that are unobservable where there is little or no market activity. Unadjusted third party pricing sources or management's assumptions and internal valuation models may be used to determine the fair values, therefore, these investments are classified as Level 3 in the fair value hierarchy. For investments without a readily determinable fair value, the measurement alternative can be elected to report the qualifying investment at cost, less impairment if any, plus or minus observable price changes in orderly transactions for an identical or similar investment of the same issuer.</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Other investments:</w:t>
      </w:r>
      <w:r>
        <w:rPr>
          <w:color w:val="000000"/>
        </w:rPr>
        <w:t> </w:t>
      </w:r>
      <w:r>
        <w:rPr>
          <w:rFonts w:ascii="Times New Roman;serif" w:hAnsi="Times New Roman;serif"/>
          <w:b w:val="false"/>
          <w:color w:val="000000"/>
          <w:sz w:val="20"/>
        </w:rPr>
        <w:t xml:space="preserve">Includes unquoted investments comprised of the following types of investments: </w:t>
      </w:r>
    </w:p>
    <w:p>
      <w:pPr>
        <w:pStyle w:val="TextBody"/>
        <w:bidi w:val="0"/>
        <w:spacing w:lineRule="auto" w:line="240" w:before="0" w:after="120"/>
        <w:ind w:left="0" w:right="0" w:hanging="180"/>
        <w:jc w:val="both"/>
        <w:rPr/>
      </w:pPr>
      <w:r>
        <w:rPr>
          <w:color w:val="000000"/>
          <w:shd w:fill="FFFFFF" w:val="clear"/>
        </w:rPr>
        <w:t>•</w:t>
      </w:r>
      <w:r>
        <w:rPr>
          <w:rFonts w:ascii="Times New Roman;serif" w:hAnsi="Times New Roman;serif"/>
          <w:b w:val="false"/>
          <w:color w:val="000000"/>
          <w:sz w:val="20"/>
        </w:rPr>
        <w:t xml:space="preserve">Privately held equity investments: </w:t>
      </w:r>
      <w:r>
        <w:rPr>
          <w:rFonts w:ascii="Times New Roman;serif" w:hAnsi="Times New Roman;serif"/>
          <w:b w:val="false"/>
          <w:color w:val="000000"/>
          <w:sz w:val="20"/>
          <w:shd w:fill="FFFFFF" w:val="clear"/>
        </w:rPr>
        <w:t>These are direct equity investments in common and preferred stock of privately held entities. The fair values are estimated using quarterly financial statements and/or recent private market transactions and thus are included under Level 3 of the fair value hierarchy due to unobservable market data used for valuation.</w:t>
      </w:r>
    </w:p>
    <w:p>
      <w:pPr>
        <w:pStyle w:val="TextBody"/>
        <w:bidi w:val="0"/>
        <w:spacing w:lineRule="auto" w:line="240" w:before="0" w:after="120"/>
        <w:ind w:left="0" w:right="0" w:hanging="180"/>
        <w:jc w:val="both"/>
        <w:rPr/>
      </w:pPr>
      <w:r>
        <w:rPr>
          <w:color w:val="000000"/>
          <w:shd w:fill="FFFFFF" w:val="clear"/>
        </w:rPr>
        <w:t>•</w:t>
      </w:r>
      <w:r>
        <w:rPr>
          <w:rFonts w:ascii="Times New Roman;serif" w:hAnsi="Times New Roman;serif"/>
          <w:b w:val="false"/>
          <w:color w:val="000000"/>
          <w:sz w:val="20"/>
          <w:shd w:fill="FFFFFF" w:val="clear"/>
        </w:rPr>
        <w:t>Private credit funds: These are privately held equity investments in common stock of entities that lend money valued using the most recently available or quarterly net asset value ("NAV") statements as provided by the external fund manager or third-party administrator and therefore measured using the NAV as a practical expedient.</w:t>
      </w:r>
    </w:p>
    <w:p>
      <w:pPr>
        <w:pStyle w:val="TextBody"/>
        <w:bidi w:val="0"/>
        <w:spacing w:lineRule="auto" w:line="240" w:before="0" w:after="120"/>
        <w:ind w:left="0" w:right="0" w:hanging="180"/>
        <w:jc w:val="both"/>
        <w:rPr/>
      </w:pPr>
      <w:r>
        <w:rPr>
          <w:color w:val="000000"/>
          <w:shd w:fill="FFFFFF" w:val="clear"/>
        </w:rPr>
        <w:t>•</w:t>
      </w:r>
      <w:r>
        <w:rPr>
          <w:rFonts w:ascii="Times New Roman;serif" w:hAnsi="Times New Roman;serif"/>
          <w:b w:val="false"/>
          <w:color w:val="000000"/>
          <w:sz w:val="20"/>
          <w:shd w:fill="FFFFFF" w:val="clear"/>
        </w:rPr>
        <w:t>Private equity funds: These are comprised of private equity funds,</w:t>
      </w:r>
      <w:r>
        <w:rPr>
          <w:color w:val="000000"/>
        </w:rPr>
        <w:t xml:space="preserve"> </w:t>
      </w:r>
      <w:r>
        <w:rPr>
          <w:rFonts w:ascii="Times New Roman;serif" w:hAnsi="Times New Roman;serif"/>
          <w:b w:val="false"/>
          <w:color w:val="000000"/>
          <w:sz w:val="20"/>
        </w:rPr>
        <w:t>private equity co-investments with sponsoring entities and investments in real estate limited partnerships and joint ventures</w:t>
      </w:r>
      <w:r>
        <w:rPr>
          <w:rFonts w:ascii="Times New Roman;serif" w:hAnsi="Times New Roman;serif"/>
          <w:b w:val="false"/>
          <w:color w:val="000000"/>
          <w:sz w:val="20"/>
          <w:shd w:fill="FFFFFF" w:val="clear"/>
        </w:rPr>
        <w:t>. The fair value is estimated based on the most recently available NAV as advised by the external fund manager or third-party administrator. The fair values are therefore measured using the NAV as a practical expedient.</w:t>
      </w:r>
    </w:p>
    <w:p>
      <w:pPr>
        <w:pStyle w:val="TextBody"/>
        <w:bidi w:val="0"/>
        <w:spacing w:lineRule="auto" w:line="240" w:before="0" w:after="120"/>
        <w:ind w:left="0" w:right="0" w:hanging="180"/>
        <w:jc w:val="both"/>
        <w:rPr/>
      </w:pPr>
      <w:r>
        <w:rPr>
          <w:color w:val="000000"/>
          <w:shd w:fill="FFFFFF" w:val="clear"/>
        </w:rPr>
        <w:t>•</w:t>
      </w:r>
      <w:r>
        <w:rPr>
          <w:rFonts w:ascii="Times New Roman;serif" w:hAnsi="Times New Roman;serif"/>
          <w:b w:val="false"/>
          <w:color w:val="000000"/>
          <w:sz w:val="20"/>
        </w:rPr>
        <w:t xml:space="preserve">Investments in direct lending entities: These investments are carried at their fair market value with any changes in fair value reported in realized and unrealized gains (losses) during the period. These investments are </w:t>
      </w:r>
      <w:r>
        <w:rPr>
          <w:rFonts w:ascii="Times New Roman;serif" w:hAnsi="Times New Roman;serif"/>
          <w:b w:val="false"/>
          <w:color w:val="000000"/>
          <w:sz w:val="20"/>
          <w:shd w:fill="FFFFFF" w:val="clear"/>
        </w:rPr>
        <w:t>included in Level 3 of the fair value hierarchy due to unobservable market data used for valuation.</w:t>
      </w:r>
    </w:p>
    <w:p>
      <w:pPr>
        <w:pStyle w:val="TextBody"/>
        <w:bidi w:val="0"/>
        <w:spacing w:lineRule="auto" w:line="240" w:before="0" w:after="120"/>
        <w:ind w:left="0" w:right="0" w:hanging="180"/>
        <w:jc w:val="both"/>
        <w:rPr/>
      </w:pPr>
      <w:r>
        <w:rPr>
          <w:color w:val="000000"/>
          <w:shd w:fill="FFFFFF" w:val="clear"/>
        </w:rPr>
        <w:t>•</w:t>
      </w:r>
      <w:r>
        <w:rPr>
          <w:rFonts w:ascii="Times New Roman;serif" w:hAnsi="Times New Roman;serif"/>
          <w:b w:val="false"/>
          <w:color w:val="000000"/>
          <w:sz w:val="20"/>
        </w:rPr>
        <w:t>Due to a lag in the valuations of certain funds reported by the investment managers, the Company may record changes in valuation with up to a three-month lag. The Company regularly reviews and discusses fund performance with the investment managers or sponsors to corroborate the reasonableness of the reported NAV and to assess whether any events have occurred within the lag period that would affect the valuation of the investments.</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 xml:space="preserve">Equity method investments: The Company elected the fair value option for certain of its equity method investments, and these investments are reported at their fair values with any changes in fair value reported in realized and unrealized gains (losses) during the period. These are </w:t>
      </w:r>
      <w:r>
        <w:rPr>
          <w:rFonts w:ascii="Times New Roman;serif" w:hAnsi="Times New Roman;serif"/>
          <w:b w:val="false"/>
          <w:color w:val="000000"/>
          <w:sz w:val="20"/>
          <w:shd w:fill="FFFFFF" w:val="clear"/>
        </w:rPr>
        <w:t>included in Level 3 of the fair value hierarchy due to unobservable market data used for valuation.</w:t>
      </w:r>
    </w:p>
    <w:p>
      <w:pPr>
        <w:pStyle w:val="TextBody"/>
        <w:bidi w:val="0"/>
        <w:spacing w:lineRule="auto" w:line="240" w:before="120" w:after="120"/>
        <w:ind w:left="0" w:right="0" w:firstLine="270"/>
        <w:jc w:val="both"/>
        <w:rPr/>
      </w:pPr>
      <w:r>
        <w:rPr>
          <w:rFonts w:ascii="Times New Roman;serif" w:hAnsi="Times New Roman;serif"/>
          <w:b w:val="false"/>
          <w:i/>
          <w:color w:val="000000"/>
          <w:sz w:val="20"/>
        </w:rPr>
        <w:t xml:space="preserve">Contingent Receivables </w:t>
      </w:r>
      <w:r>
        <w:rPr>
          <w:rFonts w:ascii="Times New Roman;serif" w:hAnsi="Times New Roman;serif"/>
          <w:b w:val="false"/>
          <w:color w:val="000000"/>
          <w:sz w:val="20"/>
        </w:rPr>
        <w:t xml:space="preserve">- The Company holds a contingent receivable related to a prior private equity investment in the insurance distribution industry. Pursuant to the terms of the asset purchase agreement, the Company will receive a series of distributions. The Company uses unobservable inputs to estimate the net present value of these potential distributions and the expected proceeds are classified as a receivable and reported in </w:t>
      </w:r>
      <w:r>
        <w:rPr>
          <w:rFonts w:ascii="Times New Roman;serif" w:hAnsi="Times New Roman;serif"/>
          <w:b w:val="false"/>
          <w:i/>
          <w:color w:val="000000"/>
          <w:sz w:val="20"/>
        </w:rPr>
        <w:t>Other Assets</w:t>
      </w:r>
      <w:r>
        <w:rPr>
          <w:color w:val="000000"/>
        </w:rPr>
        <w:t xml:space="preserve"> </w:t>
      </w:r>
      <w:r>
        <w:rPr>
          <w:rFonts w:ascii="Times New Roman;serif" w:hAnsi="Times New Roman;serif"/>
          <w:b w:val="false"/>
          <w:color w:val="000000"/>
          <w:sz w:val="20"/>
        </w:rPr>
        <w:t>on the Consolidated Balance Sheet. Under ASC 805, the earn out consideration for this receivable is adjusted to fair value at each reporting period with any changes in fair value reported immediately in income through foreign exchange and other gains (losses) on the condensed consolidated statement of operations.</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 xml:space="preserve">Derivative Instruments: </w:t>
      </w:r>
      <w:r>
        <w:rPr>
          <w:rFonts w:ascii="Times New Roman;serif" w:hAnsi="Times New Roman;serif"/>
          <w:b w:val="false"/>
          <w:color w:val="000000"/>
          <w:sz w:val="20"/>
        </w:rPr>
        <w:t xml:space="preserve">The Company has a reinsurance contract that is accounted for as a derivative. This reinsurance contract provides indemnification to an insured or cedant as a result of a change in a variable as opposed to an identifiable insurable event. The Company considers this contract to be part of its underwriting operations. This derivative was initially valued at cost which approximates fair value. In subsequent measurement periods, the fair value of this derivative was determined using internally developed discounted cash flow models using appropriate discount rates.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5. Fair Value of Financial Instruments (continued)</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selection of an appropriate discount rate is judgmental and is the most significant unobservable input used in the valuation of this derivative. The derivative liability on retroactive reinsurance is presented as part of accrued expenses and other liabilities. A significant increase (decrease) in this input in isolation may result in a significantly lower (higher) fair value measurement for the derivative contract. As the significant inputs used to price these derivatives are unobservable, the fair values of this contract is classified as Level 3 in the fair value hierarchy.</w:t>
      </w:r>
    </w:p>
    <w:p>
      <w:pPr>
        <w:pStyle w:val="TextBody"/>
        <w:bidi w:val="0"/>
        <w:spacing w:lineRule="auto" w:line="240" w:before="0" w:after="120"/>
        <w:jc w:val="left"/>
        <w:rPr>
          <w:rFonts w:ascii="Times New Roman;serif" w:hAnsi="Times New Roman;serif"/>
          <w:b/>
          <w:i/>
          <w:color w:val="000000"/>
          <w:sz w:val="20"/>
        </w:rPr>
      </w:pPr>
      <w:r>
        <w:rPr>
          <w:rFonts w:ascii="Times New Roman;serif" w:hAnsi="Times New Roman;serif"/>
          <w:b/>
          <w:i/>
          <w:color w:val="000000"/>
          <w:sz w:val="20"/>
        </w:rPr>
        <w:t>(b) Fair Value Hierarchy</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estimates of fair value for financial assets and financial liabilities are based on the framework established in ASC 820. The framework is based on the inputs used in valuation and gives the highest priority to quoted prices in active markets and requires that observable inputs be used in the valuation methodology whenever available. In determining the level of the hierarchy in which the estimate is disclosed, the highest priority is given to unadjusted quoted prices in active trading markets and the lowest priority to unobservable inputs that reflect significant market assumptions. At March 31, 2026 and December 31, 2025, the Company classified its financial instruments measured at fair value on a recurring basis in the following valuation hierarchy:</w:t>
      </w:r>
    </w:p>
    <w:tbl>
      <w:tblPr>
        <w:tblW w:w="10205" w:type="dxa"/>
        <w:jc w:val="left"/>
        <w:tblInd w:w="0" w:type="dxa"/>
        <w:tblLayout w:type="fixed"/>
        <w:tblCellMar>
          <w:top w:w="28" w:type="dxa"/>
          <w:left w:w="28" w:type="dxa"/>
          <w:bottom w:w="28" w:type="dxa"/>
          <w:right w:w="28" w:type="dxa"/>
        </w:tblCellMar>
      </w:tblPr>
      <w:tblGrid>
        <w:gridCol w:w="1076"/>
        <w:gridCol w:w="791"/>
        <w:gridCol w:w="460"/>
        <w:gridCol w:w="109"/>
        <w:gridCol w:w="109"/>
        <w:gridCol w:w="109"/>
        <w:gridCol w:w="315"/>
        <w:gridCol w:w="608"/>
        <w:gridCol w:w="165"/>
        <w:gridCol w:w="109"/>
        <w:gridCol w:w="109"/>
        <w:gridCol w:w="109"/>
        <w:gridCol w:w="249"/>
        <w:gridCol w:w="976"/>
        <w:gridCol w:w="128"/>
        <w:gridCol w:w="109"/>
        <w:gridCol w:w="109"/>
        <w:gridCol w:w="109"/>
        <w:gridCol w:w="244"/>
        <w:gridCol w:w="956"/>
        <w:gridCol w:w="126"/>
        <w:gridCol w:w="109"/>
        <w:gridCol w:w="109"/>
        <w:gridCol w:w="109"/>
        <w:gridCol w:w="255"/>
        <w:gridCol w:w="874"/>
        <w:gridCol w:w="132"/>
        <w:gridCol w:w="109"/>
        <w:gridCol w:w="109"/>
        <w:gridCol w:w="109"/>
        <w:gridCol w:w="213"/>
        <w:gridCol w:w="837"/>
        <w:gridCol w:w="165"/>
      </w:tblGrid>
      <w:tr>
        <w:trPr/>
        <w:tc>
          <w:tcPr>
            <w:tcW w:w="107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 (Level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 Observable Inputs (Level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 (Level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Based on NAV Practical Expedient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erif" w:hAnsi="Times New Roman;serif"/>
                <w:b/>
                <w:color w:val="000000"/>
                <w:sz w:val="16"/>
              </w:rPr>
            </w:pPr>
            <w:r>
              <w:rPr>
                <w:rFonts w:ascii="Times New Roman;serif" w:hAnsi="Times New Roman;serif"/>
                <w:b/>
                <w:color w:val="000000"/>
                <w:sz w:val="16"/>
              </w:rPr>
              <w:t>Total Fair Value</w:t>
            </w:r>
          </w:p>
        </w:tc>
      </w:tr>
      <w:tr>
        <w:trPr/>
        <w:tc>
          <w:tcPr>
            <w:tcW w:w="2327"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Fixed maturities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2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bonds – mortgage-backed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2327"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government bonds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62,308 </w:t>
            </w:r>
          </w:p>
        </w:tc>
        <w:tc>
          <w:tcPr>
            <w:tcW w:w="12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62,308 </w:t>
            </w:r>
          </w:p>
        </w:tc>
        <w:tc>
          <w:tcPr>
            <w:tcW w:w="165" w:type="dxa"/>
            <w:tcBorders/>
            <w:shd w:fill="CD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7"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6,642 </w:t>
            </w:r>
          </w:p>
        </w:tc>
        <w:tc>
          <w:tcPr>
            <w:tcW w:w="12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6,642 </w:t>
            </w:r>
          </w:p>
        </w:tc>
        <w:tc>
          <w:tcPr>
            <w:tcW w:w="16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2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7"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Contingent Receivable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10,159 </w:t>
            </w:r>
          </w:p>
        </w:tc>
        <w:tc>
          <w:tcPr>
            <w:tcW w:w="12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10,159 </w:t>
            </w:r>
          </w:p>
        </w:tc>
        <w:tc>
          <w:tcPr>
            <w:tcW w:w="16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135,771 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39,899 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175,670 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327"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investments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123,214 </w:t>
            </w:r>
          </w:p>
        </w:tc>
        <w:tc>
          <w:tcPr>
            <w:tcW w:w="128"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152,840 </w:t>
            </w:r>
          </w:p>
        </w:tc>
        <w:tc>
          <w:tcPr>
            <w:tcW w:w="126"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39,899 </w:t>
            </w:r>
          </w:p>
        </w:tc>
        <w:tc>
          <w:tcPr>
            <w:tcW w:w="132"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315,953 </w:t>
            </w:r>
          </w:p>
        </w:tc>
        <w:tc>
          <w:tcPr>
            <w:tcW w:w="165"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a percentage of 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32.8%</w:t>
            </w:r>
          </w:p>
        </w:tc>
      </w:tr>
      <w:tr>
        <w:trPr/>
        <w:tc>
          <w:tcPr>
            <w:tcW w:w="2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Underwriting-related derivative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3,984 </w:t>
            </w:r>
          </w:p>
        </w:tc>
        <w:tc>
          <w:tcPr>
            <w:tcW w:w="1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3,984 </w:t>
            </w:r>
          </w:p>
        </w:tc>
        <w:tc>
          <w:tcPr>
            <w:tcW w:w="16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53"/>
        <w:gridCol w:w="621"/>
        <w:gridCol w:w="625"/>
        <w:gridCol w:w="109"/>
        <w:gridCol w:w="109"/>
        <w:gridCol w:w="109"/>
        <w:gridCol w:w="259"/>
        <w:gridCol w:w="887"/>
        <w:gridCol w:w="134"/>
        <w:gridCol w:w="109"/>
        <w:gridCol w:w="109"/>
        <w:gridCol w:w="109"/>
        <w:gridCol w:w="239"/>
        <w:gridCol w:w="937"/>
        <w:gridCol w:w="123"/>
        <w:gridCol w:w="109"/>
        <w:gridCol w:w="109"/>
        <w:gridCol w:w="109"/>
        <w:gridCol w:w="235"/>
        <w:gridCol w:w="922"/>
        <w:gridCol w:w="121"/>
        <w:gridCol w:w="109"/>
        <w:gridCol w:w="109"/>
        <w:gridCol w:w="109"/>
        <w:gridCol w:w="244"/>
        <w:gridCol w:w="834"/>
        <w:gridCol w:w="126"/>
        <w:gridCol w:w="109"/>
        <w:gridCol w:w="109"/>
        <w:gridCol w:w="109"/>
        <w:gridCol w:w="213"/>
        <w:gridCol w:w="834"/>
        <w:gridCol w:w="163"/>
      </w:tblGrid>
      <w:tr>
        <w:trPr/>
        <w:tc>
          <w:tcPr>
            <w:tcW w:w="105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 (Level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 Observable Inputs (Level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 (Level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Based on NAV Practical Expedient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erif" w:hAnsi="Times New Roman;serif"/>
                <w:b/>
                <w:color w:val="000000"/>
                <w:sz w:val="16"/>
              </w:rPr>
            </w:pPr>
            <w:r>
              <w:rPr>
                <w:rFonts w:ascii="Times New Roman;serif" w:hAnsi="Times New Roman;serif"/>
                <w:b/>
                <w:color w:val="000000"/>
                <w:sz w:val="16"/>
              </w:rPr>
              <w:t>Total Fair Value</w:t>
            </w:r>
          </w:p>
        </w:tc>
      </w:tr>
      <w:tr>
        <w:trPr/>
        <w:tc>
          <w:tcPr>
            <w:tcW w:w="229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Fixed maturities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bonds – mortgage-backed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21,618 </w:t>
            </w:r>
          </w:p>
        </w:tc>
        <w:tc>
          <w:tcPr>
            <w:tcW w:w="12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21,618 </w:t>
            </w:r>
          </w:p>
        </w:tc>
        <w:tc>
          <w:tcPr>
            <w:tcW w:w="16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2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government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29,143 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29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62,624 </w:t>
            </w:r>
          </w:p>
        </w:tc>
        <w:tc>
          <w:tcPr>
            <w:tcW w:w="12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62,624 </w:t>
            </w:r>
          </w:p>
        </w:tc>
        <w:tc>
          <w:tcPr>
            <w:tcW w:w="16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229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 securities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4,838 </w:t>
            </w:r>
          </w:p>
        </w:tc>
        <w:tc>
          <w:tcPr>
            <w:tcW w:w="12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6,910 </w:t>
            </w:r>
          </w:p>
        </w:tc>
        <w:tc>
          <w:tcPr>
            <w:tcW w:w="12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11,748 </w:t>
            </w:r>
          </w:p>
        </w:tc>
        <w:tc>
          <w:tcPr>
            <w:tcW w:w="16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Contingent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Other investments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135,018 </w:t>
            </w:r>
          </w:p>
        </w:tc>
        <w:tc>
          <w:tcPr>
            <w:tcW w:w="12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38,340 </w:t>
            </w:r>
          </w:p>
        </w:tc>
        <w:tc>
          <w:tcPr>
            <w:tcW w:w="12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173,358 </w:t>
            </w:r>
          </w:p>
        </w:tc>
        <w:tc>
          <w:tcPr>
            <w:tcW w:w="163" w:type="dxa"/>
            <w:tcBorders/>
            <w:shd w:fill="CD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43,673 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126,200 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151,883 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38,340 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360,096 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As a percentage of total assets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35.6%</w:t>
            </w:r>
          </w:p>
        </w:tc>
      </w:tr>
      <w:tr>
        <w:trPr/>
        <w:tc>
          <w:tcPr>
            <w:tcW w:w="2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Underwriting-related derivative liability</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bottom w:val="double" w:sz="8" w:space="0" w:color="000000"/>
            </w:tcBorders>
            <w:shd w:fill="CDFFC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bottom w:val="double" w:sz="8" w:space="0" w:color="000000"/>
            </w:tcBorders>
            <w:shd w:fill="CDFFC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3,984 </w:t>
            </w:r>
          </w:p>
        </w:tc>
        <w:tc>
          <w:tcPr>
            <w:tcW w:w="121" w:type="dxa"/>
            <w:tcBorders>
              <w:bottom w:val="double" w:sz="8" w:space="0" w:color="000000"/>
            </w:tcBorders>
            <w:shd w:fill="CDFFC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bottom w:val="double" w:sz="8" w:space="0" w:color="000000"/>
            </w:tcBorders>
            <w:shd w:fill="CDFFC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3,984 </w:t>
            </w:r>
          </w:p>
        </w:tc>
        <w:tc>
          <w:tcPr>
            <w:tcW w:w="163" w:type="dxa"/>
            <w:tcBorders>
              <w:bottom w:val="double" w:sz="8" w:space="0" w:color="000000"/>
            </w:tcBorders>
            <w:shd w:fill="CDFFC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utilizes the Pricing Service to assist in determining the fair value of its investments; however, management is ultimately responsible for all fair values presented in the Company’s consolidated financial statements. This includes responsibility for monitoring the fair value process, ensuring objective and reliable valuation practices, and pricing of assets and liabilities and use of pricing sources. The Company analyzes and reviews the information and prices received from the Pricing Service to ensure that the prices provided represent a reasonable estimate of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5. Fair Value Measurements (continued)</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Pricing Service was utilized to estimate fair value measurements for 100.0% of our fixed maturities at March 31, 2026 and December 31, 2025, respectively. The Pricing Service utilizes market quotations for fixed maturity securities that have quoted market prices in active markets. Since fixed maturities other than U.S. treasury bonds generally do not trade actively on a daily basis, the Pricing Service prepares estimates of fair value measurements using relevant market data, benchmark curves, sector groupings and matrix pricing and these have been classified as Level 2 within the fair value hierarchy.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At March 31, 2026 and December 31, 2025, no securities in our fixed maturity investment portfolio were priced using a non-binding quotation from a broker and/or custodian as opposed to the Pricing Service. At March 31, 2026 and December 31, 2025, the Company did not adjust any pricing provided to it based on the review performed by its investment managers. There were no transfers to or from Level 3 during the three months ended March 31, 2026.</w:t>
      </w:r>
    </w:p>
    <w:p>
      <w:pPr>
        <w:pStyle w:val="TextBody"/>
        <w:bidi w:val="0"/>
        <w:spacing w:lineRule="auto" w:line="240" w:before="0" w:after="120"/>
        <w:jc w:val="left"/>
        <w:rPr>
          <w:rFonts w:ascii="Times New Roman;serif" w:hAnsi="Times New Roman;serif"/>
          <w:b/>
          <w:i/>
          <w:color w:val="000000"/>
          <w:sz w:val="20"/>
        </w:rPr>
      </w:pPr>
      <w:r>
        <w:rPr>
          <w:rFonts w:ascii="Times New Roman;serif" w:hAnsi="Times New Roman;serif"/>
          <w:b/>
          <w:i/>
          <w:color w:val="000000"/>
          <w:sz w:val="20"/>
        </w:rPr>
        <w:t>(c) Level 3 Financial Instruments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At March 31, 2026, the Company holds Level 3 financial instruments including investments of $152,840 (December 31, 2025: $151,883), a contingent investment receivable of $10,159 (December 31, 2025: $9,955) included in other assets, and an underwriting-related derivative liability of $3,984 (December 31, 2025: $3,984) on a reinsurance contract written by GLS which is included in accrued expenses and other liabilities.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Level 3 investments include collateralized investments in direct lending entities of $52,687 at March 31, 2026 (December 31, 2025: $53,275) which are carried at fair market value using significant unobservable inputs. These direct loans are illiquid and require long-term capital commitments, and so significant judgment was used in its valuation using discounted cash flows. However, collateral is held in excess of the fair value of this investment. Due to significant unobservable inputs required in its valuation, investments in direct lending entities are classified as Level 3 in the fair value hierarchy.</w:t>
      </w:r>
    </w:p>
    <w:p>
      <w:pPr>
        <w:pStyle w:val="TextBody"/>
        <w:bidi w:val="0"/>
        <w:spacing w:lineRule="auto" w:line="240" w:before="0" w:after="120"/>
        <w:ind w:left="0" w:right="0" w:firstLine="270"/>
        <w:jc w:val="both"/>
        <w:rPr/>
      </w:pPr>
      <w:r>
        <w:rPr>
          <w:rFonts w:ascii="Times New Roman;serif" w:hAnsi="Times New Roman;serif"/>
          <w:b w:val="false"/>
          <w:color w:val="000000"/>
          <w:sz w:val="20"/>
        </w:rPr>
        <w:t>The fair values for privately held equity investments of $9,742 at March 31, 2026 (December 31, 2025: $9,742) are estimated using quarterly unaudited capital and financial statements provided by the investee, option pricing models or market comparable transactions where applicable. Any changes to the financial information provided by the investee could result in a significantly higher or lower valuation at the reporting date. Due to significant unobservable inputs in these valuations, the Company classifies the fair values as Level 3 in the fair value hierarchy</w:t>
      </w:r>
      <w:r>
        <w:rPr>
          <w:rFonts w:ascii="Times New Roman;serif" w:hAnsi="Times New Roman;serif"/>
          <w:b w:val="false"/>
          <w:color w:val="000000"/>
          <w:sz w:val="20"/>
          <w:shd w:fill="FFFFFF" w:val="clear"/>
        </w:rPr>
        <w:t>.</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elected the fair value option for certain of its equity method investments at the acquisition date. The fair values of $80,252 at March 31, 2026 (December 31, 2025: $78,911) are presented in other investments and estimated using quarterly unaudited capital and financial statements provided by the investee, discounted cash flows and option pricing models, where applicable. Any changes to the financial information provided by the investee could result in a significantly higher or lower valuation at the reporting date. Due to significant unobservable inputs in valuations, the Company classifies the fair values as Level 3 in the fair value hierarchy.</w:t>
      </w:r>
    </w:p>
    <w:p>
      <w:pPr>
        <w:pStyle w:val="TextBody"/>
        <w:bidi w:val="0"/>
        <w:spacing w:lineRule="auto" w:line="240" w:before="120" w:after="120"/>
        <w:ind w:left="0" w:right="0" w:firstLine="270"/>
        <w:jc w:val="both"/>
        <w:rPr/>
      </w:pPr>
      <w:r>
        <w:rPr>
          <w:rFonts w:ascii="Times New Roman;serif" w:hAnsi="Times New Roman;serif"/>
          <w:b w:val="false"/>
          <w:color w:val="000000"/>
          <w:sz w:val="20"/>
        </w:rPr>
        <w:t xml:space="preserve">The Company holds a contingent receivable related to a prior private equity investment in the insurance distribution industry where the Company will receive a series of distributions under terms of the asset purchase agreement. The net present value of these potential distributions is $10,159 at March 31, 2026 (December 31, 2025: $9,955) which was reported in </w:t>
      </w:r>
      <w:r>
        <w:rPr>
          <w:rFonts w:ascii="Times New Roman;serif" w:hAnsi="Times New Roman;serif"/>
          <w:b w:val="false"/>
          <w:i/>
          <w:color w:val="000000"/>
          <w:sz w:val="20"/>
        </w:rPr>
        <w:t>Other Assets</w:t>
      </w:r>
      <w:r>
        <w:rPr>
          <w:color w:val="000000"/>
        </w:rPr>
        <w:t xml:space="preserve"> </w:t>
      </w:r>
      <w:r>
        <w:rPr>
          <w:rFonts w:ascii="Times New Roman;serif" w:hAnsi="Times New Roman;serif"/>
          <w:b w:val="false"/>
          <w:color w:val="000000"/>
          <w:sz w:val="20"/>
        </w:rPr>
        <w:t>on the Condensed Consolidated Balance Sheets. Under ASC 805, the earn out consideration for this receivable is adjusted to fair value using discounted cash flows at each reporting period with any changes in fair value reported immediately in net income. Due to significant unobservable inputs in its valuation, the Company classifies the fair values as Level 3 in the fair value hierarchy.</w:t>
      </w:r>
    </w:p>
    <w:p>
      <w:pPr>
        <w:pStyle w:val="TextBody"/>
        <w:bidi w:val="0"/>
        <w:spacing w:lineRule="auto" w:line="240" w:before="0" w:after="120"/>
        <w:ind w:left="0" w:right="0" w:firstLine="270"/>
        <w:jc w:val="both"/>
        <w:rPr/>
      </w:pPr>
      <w:r>
        <w:rPr>
          <w:rFonts w:ascii="Times New Roman;serif" w:hAnsi="Times New Roman;serif"/>
          <w:b w:val="false"/>
          <w:color w:val="000000"/>
          <w:sz w:val="20"/>
        </w:rPr>
        <w:t>The fair value of underwriting-related derivative instruments of $3,984 at March 31, 2026 and December 31, 2025 was determined using a</w:t>
      </w:r>
      <w:r>
        <w:rPr>
          <w:color w:val="000000"/>
          <w:shd w:fill="FFFFFF" w:val="clear"/>
        </w:rPr>
        <w:t xml:space="preserve"> </w:t>
      </w:r>
      <w:r>
        <w:rPr>
          <w:rFonts w:ascii="Times New Roman;serif" w:hAnsi="Times New Roman;serif"/>
          <w:b w:val="false"/>
          <w:color w:val="000000"/>
          <w:sz w:val="20"/>
          <w:shd w:fill="FFFFFF" w:val="clear"/>
        </w:rPr>
        <w:t>discounted cash flow model in which the Company examines current market conditions, historical results as well as contract specific information that may impact future cash flows in order to assess the reasonableness of inputs used in the valuation model</w:t>
      </w:r>
      <w:r>
        <w:rPr>
          <w:rFonts w:ascii="Times New Roman;serif" w:hAnsi="Times New Roman;serif"/>
          <w:b w:val="false"/>
          <w:color w:val="000000"/>
          <w:sz w:val="20"/>
        </w:rPr>
        <w:t>. Due to significant unobservable inputs in these valuations, the Company classifies the fair values as Level 3 in the fair value hierarchy</w:t>
      </w:r>
      <w:r>
        <w:rPr>
          <w:rFonts w:ascii="Times New Roman;serif" w:hAnsi="Times New Roman;serif"/>
          <w:b w:val="false"/>
          <w:color w:val="000000"/>
          <w:sz w:val="20"/>
          <w:shd w:fill="FFFFFF" w:val="clear"/>
        </w:rPr>
        <w:t>.</w:t>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reconciliation of beginning and ending balances for investments measured at fair value on a recurring basis using Level 3 inputs for the three months ended March 31, 2026. The Company includes any related interest and dividend income in net investment income and thus are excluded from the reconciliation in the table below:</w:t>
      </w:r>
    </w:p>
    <w:p>
      <w:pPr>
        <w:pStyle w:val="TextBody"/>
        <w:bidi w:val="0"/>
        <w:spacing w:before="0" w:after="0"/>
        <w:ind w:left="0" w:right="0" w:firstLine="270"/>
        <w:jc w:val="both"/>
        <w:rPr/>
      </w:pPr>
      <w:r>
        <w:rPr/>
      </w:r>
    </w:p>
    <w:tbl>
      <w:tblPr>
        <w:tblW w:w="6447" w:type="dxa"/>
        <w:jc w:val="left"/>
        <w:tblInd w:w="0" w:type="dxa"/>
        <w:tblLayout w:type="fixed"/>
        <w:tblCellMar>
          <w:top w:w="28" w:type="dxa"/>
          <w:left w:w="28" w:type="dxa"/>
          <w:bottom w:w="28" w:type="dxa"/>
          <w:right w:w="28" w:type="dxa"/>
        </w:tblCellMar>
      </w:tblPr>
      <w:tblGrid>
        <w:gridCol w:w="1546"/>
        <w:gridCol w:w="1358"/>
        <w:gridCol w:w="1371"/>
        <w:gridCol w:w="109"/>
        <w:gridCol w:w="109"/>
        <w:gridCol w:w="109"/>
        <w:gridCol w:w="109"/>
        <w:gridCol w:w="109"/>
        <w:gridCol w:w="109"/>
        <w:gridCol w:w="109"/>
        <w:gridCol w:w="211"/>
        <w:gridCol w:w="826"/>
        <w:gridCol w:w="109"/>
        <w:gridCol w:w="109"/>
        <w:gridCol w:w="154"/>
      </w:tblGrid>
      <w:tr>
        <w:trPr/>
        <w:tc>
          <w:tcPr>
            <w:tcW w:w="1546"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8" w:type="dxa"/>
            <w:gridSpan w:val="6"/>
            <w:tcBorders/>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beginning of period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151,883 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gains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Level 3 investments - end of period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152,840 </w:t>
            </w:r>
          </w:p>
        </w:tc>
        <w:tc>
          <w:tcPr>
            <w:tcW w:w="109"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5. Fair Value Measurements (continued)</w:t>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quantitative information regarding the significant unobservable inputs used in determining the fair value of other investments measured at fair value on a recurring basis under the Level 3 classification at March 31, 2026:</w:t>
      </w:r>
    </w:p>
    <w:tbl>
      <w:tblPr>
        <w:tblW w:w="10393" w:type="dxa"/>
        <w:jc w:val="left"/>
        <w:tblInd w:w="0" w:type="dxa"/>
        <w:tblLayout w:type="fixed"/>
        <w:tblCellMar>
          <w:top w:w="28" w:type="dxa"/>
          <w:left w:w="28" w:type="dxa"/>
          <w:bottom w:w="28" w:type="dxa"/>
          <w:right w:w="28" w:type="dxa"/>
        </w:tblCellMar>
      </w:tblPr>
      <w:tblGrid>
        <w:gridCol w:w="1279"/>
        <w:gridCol w:w="320"/>
        <w:gridCol w:w="322"/>
        <w:gridCol w:w="109"/>
        <w:gridCol w:w="109"/>
        <w:gridCol w:w="109"/>
        <w:gridCol w:w="211"/>
        <w:gridCol w:w="841"/>
        <w:gridCol w:w="109"/>
        <w:gridCol w:w="109"/>
        <w:gridCol w:w="109"/>
        <w:gridCol w:w="109"/>
        <w:gridCol w:w="440"/>
        <w:gridCol w:w="305"/>
        <w:gridCol w:w="306"/>
        <w:gridCol w:w="109"/>
        <w:gridCol w:w="109"/>
        <w:gridCol w:w="109"/>
        <w:gridCol w:w="540"/>
        <w:gridCol w:w="390"/>
        <w:gridCol w:w="391"/>
        <w:gridCol w:w="109"/>
        <w:gridCol w:w="109"/>
        <w:gridCol w:w="109"/>
        <w:gridCol w:w="240"/>
        <w:gridCol w:w="226"/>
        <w:gridCol w:w="256"/>
        <w:gridCol w:w="109"/>
        <w:gridCol w:w="109"/>
        <w:gridCol w:w="109"/>
        <w:gridCol w:w="240"/>
        <w:gridCol w:w="226"/>
        <w:gridCol w:w="256"/>
        <w:gridCol w:w="109"/>
        <w:gridCol w:w="109"/>
        <w:gridCol w:w="109"/>
        <w:gridCol w:w="240"/>
        <w:gridCol w:w="226"/>
        <w:gridCol w:w="256"/>
        <w:gridCol w:w="237"/>
        <w:gridCol w:w="237"/>
        <w:gridCol w:w="337"/>
      </w:tblGrid>
      <w:tr>
        <w:trPr/>
        <w:tc>
          <w:tcPr>
            <w:tcW w:w="127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Financial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Valuation Technique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Significant Unobservable Valuation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Range of Unobservable Inputs (Low/High/Weighted Average)</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Increases in Inputs</w:t>
            </w:r>
          </w:p>
        </w:tc>
      </w:tr>
      <w:tr>
        <w:trPr/>
        <w:tc>
          <w:tcPr>
            <w:tcW w:w="1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1921" w:type="dxa"/>
            <w:gridSpan w:val="3"/>
            <w:tcBorders>
              <w:top w:val="single" w:sz="8" w:space="0" w:color="000000"/>
              <w:left w:val="single" w:sz="8" w:space="0" w:color="000000"/>
            </w:tcBorders>
            <w:shd w:fill="CDFFCC" w:val="clear"/>
            <w:tcMar>
              <w:top w:w="30" w:type="dxa"/>
              <w:left w:w="38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equity investments - preferred shares</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4,578 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Market comparable companies &amp; Option Pricing Models</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Value Change - Market/Industry Factors</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(0.3)%</w:t>
            </w:r>
          </w:p>
        </w:tc>
        <w:tc>
          <w:tcPr>
            <w:tcW w:w="811" w:type="dxa"/>
            <w:gridSpan w:val="3"/>
            <w:tcBorders>
              <w:top w:val="single" w:sz="8" w:space="0" w:color="000000"/>
              <w:right w:val="single" w:sz="8" w:space="0" w:color="000000"/>
            </w:tcBorders>
            <w:shd w:fill="CDFFCC" w:val="clear"/>
            <w:tcMar>
              <w:top w:w="30" w:type="dxa"/>
              <w:left w:w="0" w:type="dxa"/>
              <w:bottom w:w="0" w:type="dxa"/>
            </w:tcMar>
            <w:vAlign w:val="center"/>
          </w:tcPr>
          <w:p>
            <w:pPr>
              <w:pStyle w:val="TableContents"/>
              <w:bidi w:val="0"/>
              <w:spacing w:lineRule="auto" w:line="240" w:before="0" w:after="283"/>
              <w:ind w:left="0" w:right="0" w:hanging="360"/>
              <w:jc w:val="center"/>
              <w:rPr>
                <w:rFonts w:ascii="Times New Roman;serif" w:hAnsi="Times New Roman;serif"/>
                <w:b w:val="false"/>
                <w:color w:val="000000"/>
                <w:sz w:val="18"/>
              </w:rPr>
            </w:pPr>
            <w:r>
              <w:rPr>
                <w:rFonts w:ascii="Times New Roman;serif" w:hAnsi="Times New Roman;serif"/>
                <w:b w:val="false"/>
                <w:color w:val="000000"/>
                <w:sz w:val="18"/>
              </w:rPr>
              <w:t>Higher fair value</w:t>
            </w:r>
          </w:p>
        </w:tc>
      </w:tr>
      <w:tr>
        <w:trPr/>
        <w:tc>
          <w:tcPr>
            <w:tcW w:w="1921" w:type="dxa"/>
            <w:gridSpan w:val="3"/>
            <w:tcBorders>
              <w:left w:val="single" w:sz="8" w:space="0" w:color="000000"/>
            </w:tcBorders>
            <w:shd w:fill="FFFFFF" w:val="clear"/>
            <w:tcMar>
              <w:top w:w="0" w:type="dxa"/>
              <w:left w:w="38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equity investments - preferred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op w:val="single" w:sz="8" w:space="0" w:color="000000"/>
            </w:tcBorders>
            <w:shd w:fill="CDFFCC"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Value Change - Company Performance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811"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Higher fair value</w:t>
            </w:r>
          </w:p>
        </w:tc>
      </w:tr>
      <w:tr>
        <w:trPr/>
        <w:tc>
          <w:tcPr>
            <w:tcW w:w="1921" w:type="dxa"/>
            <w:gridSpan w:val="3"/>
            <w:tcBorders>
              <w:left w:val="single" w:sz="8" w:space="0" w:color="000000"/>
            </w:tcBorders>
            <w:shd w:fill="CDFFCC"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op w:val="single" w:sz="8" w:space="0" w:color="000000"/>
            </w:tcBorders>
            <w:shd w:fill="CDFFCC" w:val="clear"/>
            <w:tcMar>
              <w:top w:w="30" w:type="dxa"/>
              <w:left w:w="0" w:type="dxa"/>
              <w:bottom w:w="0" w:type="dxa"/>
              <w:right w:w="0" w:type="dxa"/>
            </w:tcMar>
            <w:vAlign w:val="center"/>
          </w:tcPr>
          <w:p>
            <w:pPr>
              <w:pStyle w:val="Normal"/>
              <w:bidi w:val="0"/>
              <w:jc w:val="left"/>
              <w:rPr/>
            </w:pPr>
            <w:r>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Term to Exit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 years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 years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 years</w:t>
            </w:r>
          </w:p>
        </w:tc>
        <w:tc>
          <w:tcPr>
            <w:tcW w:w="811" w:type="dxa"/>
            <w:gridSpan w:val="3"/>
            <w:tcBorders>
              <w:right w:val="single" w:sz="8" w:space="0" w:color="000000"/>
            </w:tcBorders>
            <w:shd w:fill="CDFFCC" w:val="clear"/>
            <w:tcMar>
              <w:top w:w="0" w:type="dxa"/>
              <w:left w:w="0" w:type="dxa"/>
              <w:bottom w:w="0" w:type="dxa"/>
            </w:tcMar>
            <w:vAlign w:val="center"/>
          </w:tcPr>
          <w:p>
            <w:pPr>
              <w:pStyle w:val="TableContents"/>
              <w:bidi w:val="0"/>
              <w:spacing w:lineRule="auto" w:line="240" w:before="0" w:after="283"/>
              <w:ind w:left="0" w:right="0" w:hanging="360"/>
              <w:jc w:val="center"/>
              <w:rPr>
                <w:rFonts w:ascii="Times New Roman;serif" w:hAnsi="Times New Roman;serif"/>
                <w:b w:val="false"/>
                <w:color w:val="000000"/>
                <w:sz w:val="18"/>
              </w:rPr>
            </w:pPr>
            <w:r>
              <w:rPr>
                <w:rFonts w:ascii="Times New Roman;serif" w:hAnsi="Times New Roman;serif"/>
                <w:b w:val="false"/>
                <w:color w:val="000000"/>
                <w:sz w:val="18"/>
              </w:rPr>
              <w:t>Lower fair value</w:t>
            </w:r>
          </w:p>
        </w:tc>
      </w:tr>
      <w:tr>
        <w:trPr/>
        <w:tc>
          <w:tcPr>
            <w:tcW w:w="1921" w:type="dxa"/>
            <w:gridSpan w:val="3"/>
            <w:tcBorders>
              <w:left w:val="single" w:sz="8" w:space="0" w:color="000000"/>
            </w:tcBorders>
            <w:shd w:fill="FFFFFF" w:val="clear"/>
            <w:tcMar>
              <w:top w:w="0" w:type="dxa"/>
              <w:left w:w="38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op w:val="single" w:sz="8" w:space="0" w:color="000000"/>
            </w:tcBorders>
            <w:shd w:fill="CDFFCC"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Equity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56.6%</w:t>
            </w:r>
          </w:p>
        </w:tc>
        <w:tc>
          <w:tcPr>
            <w:tcW w:w="811"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ind w:left="0" w:right="0" w:hanging="360"/>
              <w:jc w:val="center"/>
              <w:rPr>
                <w:rFonts w:ascii="Times New Roman;serif" w:hAnsi="Times New Roman;serif"/>
                <w:b w:val="false"/>
                <w:color w:val="000000"/>
                <w:sz w:val="18"/>
              </w:rPr>
            </w:pPr>
            <w:r>
              <w:rPr>
                <w:rFonts w:ascii="Times New Roman;serif" w:hAnsi="Times New Roman;serif"/>
                <w:b w:val="false"/>
                <w:color w:val="000000"/>
                <w:sz w:val="18"/>
              </w:rPr>
              <w:t>Lower fair value</w:t>
            </w:r>
          </w:p>
        </w:tc>
      </w:tr>
      <w:tr>
        <w:trPr/>
        <w:tc>
          <w:tcPr>
            <w:tcW w:w="1921" w:type="dxa"/>
            <w:gridSpan w:val="3"/>
            <w:tcBorders>
              <w:top w:val="single" w:sz="8" w:space="0" w:color="000000"/>
              <w:left w:val="single" w:sz="8" w:space="0" w:color="000000"/>
            </w:tcBorders>
            <w:shd w:fill="CDFFCC" w:val="clear"/>
            <w:tcMar>
              <w:top w:w="30" w:type="dxa"/>
              <w:left w:w="38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equity investments - preferred shares</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Market comparable companies &amp; Option Pricing Models</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Value Change - Market/Industry Factors</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7.5%</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w:t>
            </w:r>
          </w:p>
        </w:tc>
        <w:tc>
          <w:tcPr>
            <w:tcW w:w="811" w:type="dxa"/>
            <w:gridSpan w:val="3"/>
            <w:tcBorders>
              <w:top w:val="single" w:sz="8" w:space="0" w:color="000000"/>
              <w:right w:val="single" w:sz="8" w:space="0" w:color="000000"/>
            </w:tcBorders>
            <w:shd w:fill="CDFFCC" w:val="clear"/>
            <w:tcMar>
              <w:top w:w="30" w:type="dxa"/>
              <w:left w:w="0" w:type="dxa"/>
              <w:bottom w:w="0" w:type="dxa"/>
            </w:tcMar>
            <w:vAlign w:val="center"/>
          </w:tcPr>
          <w:p>
            <w:pPr>
              <w:pStyle w:val="TableContents"/>
              <w:bidi w:val="0"/>
              <w:spacing w:lineRule="auto" w:line="240" w:before="0" w:after="283"/>
              <w:ind w:left="0" w:right="0" w:hanging="360"/>
              <w:jc w:val="center"/>
              <w:rPr>
                <w:rFonts w:ascii="Times New Roman;serif" w:hAnsi="Times New Roman;serif"/>
                <w:b w:val="false"/>
                <w:color w:val="000000"/>
                <w:sz w:val="18"/>
              </w:rPr>
            </w:pPr>
            <w:r>
              <w:rPr>
                <w:rFonts w:ascii="Times New Roman;serif" w:hAnsi="Times New Roman;serif"/>
                <w:b w:val="false"/>
                <w:color w:val="000000"/>
                <w:sz w:val="18"/>
              </w:rPr>
              <w:t>Higher fair value</w:t>
            </w:r>
          </w:p>
        </w:tc>
      </w:tr>
      <w:tr>
        <w:trPr/>
        <w:tc>
          <w:tcPr>
            <w:tcW w:w="1921" w:type="dxa"/>
            <w:gridSpan w:val="3"/>
            <w:tcBorders>
              <w:left w:val="single" w:sz="8" w:space="0" w:color="000000"/>
            </w:tcBorders>
            <w:shd w:fill="FFFFFF" w:val="clear"/>
            <w:tcMar>
              <w:top w:w="0" w:type="dxa"/>
              <w:left w:w="38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equity investments - preferred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shd w:fill="CDFFCC"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Value Change - Company Performance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811"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ind w:left="0" w:right="0" w:hanging="360"/>
              <w:jc w:val="center"/>
              <w:rPr>
                <w:rFonts w:ascii="Times New Roman;serif" w:hAnsi="Times New Roman;serif"/>
                <w:b w:val="false"/>
                <w:color w:val="000000"/>
                <w:sz w:val="18"/>
              </w:rPr>
            </w:pPr>
            <w:r>
              <w:rPr>
                <w:rFonts w:ascii="Times New Roman;serif" w:hAnsi="Times New Roman;serif"/>
                <w:b w:val="false"/>
                <w:color w:val="000000"/>
                <w:sz w:val="18"/>
              </w:rPr>
              <w:t>Higher fair value</w:t>
            </w:r>
          </w:p>
        </w:tc>
      </w:tr>
      <w:tr>
        <w:trPr/>
        <w:tc>
          <w:tcPr>
            <w:tcW w:w="1921" w:type="dxa"/>
            <w:gridSpan w:val="3"/>
            <w:tcBorders>
              <w:left w:val="single" w:sz="8" w:space="0" w:color="000000"/>
            </w:tcBorders>
            <w:shd w:fill="CDFFCC" w:val="clear"/>
            <w:tcMar>
              <w:top w:w="0" w:type="dxa"/>
              <w:left w:w="38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shd w:fill="CDFFCC" w:val="clear"/>
            <w:tcMar>
              <w:top w:w="0" w:type="dxa"/>
              <w:left w:w="0" w:type="dxa"/>
              <w:bottom w:w="0" w:type="dxa"/>
              <w:right w:w="0" w:type="dxa"/>
            </w:tcMar>
            <w:vAlign w:val="center"/>
          </w:tcPr>
          <w:p>
            <w:pPr>
              <w:pStyle w:val="Normal"/>
              <w:bidi w:val="0"/>
              <w:jc w:val="left"/>
              <w:rPr/>
            </w:pPr>
            <w:r>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Term to Exit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 years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 years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 years</w:t>
            </w:r>
          </w:p>
        </w:tc>
        <w:tc>
          <w:tcPr>
            <w:tcW w:w="811" w:type="dxa"/>
            <w:gridSpan w:val="3"/>
            <w:tcBorders>
              <w:right w:val="single" w:sz="8" w:space="0" w:color="000000"/>
            </w:tcBorders>
            <w:shd w:fill="CDFFCC" w:val="clear"/>
            <w:tcMar>
              <w:top w:w="0" w:type="dxa"/>
              <w:left w:w="0" w:type="dxa"/>
              <w:bottom w:w="0" w:type="dxa"/>
            </w:tcMar>
            <w:vAlign w:val="center"/>
          </w:tcPr>
          <w:p>
            <w:pPr>
              <w:pStyle w:val="TableContents"/>
              <w:bidi w:val="0"/>
              <w:spacing w:lineRule="auto" w:line="240" w:before="0" w:after="283"/>
              <w:ind w:left="0" w:right="0" w:hanging="360"/>
              <w:jc w:val="center"/>
              <w:rPr>
                <w:rFonts w:ascii="Times New Roman;serif" w:hAnsi="Times New Roman;serif"/>
                <w:b w:val="false"/>
                <w:color w:val="000000"/>
                <w:sz w:val="18"/>
              </w:rPr>
            </w:pPr>
            <w:r>
              <w:rPr>
                <w:rFonts w:ascii="Times New Roman;serif" w:hAnsi="Times New Roman;serif"/>
                <w:b w:val="false"/>
                <w:color w:val="000000"/>
                <w:sz w:val="18"/>
              </w:rPr>
              <w:t>Lower fair value</w:t>
            </w:r>
          </w:p>
        </w:tc>
      </w:tr>
      <w:tr>
        <w:trPr/>
        <w:tc>
          <w:tcPr>
            <w:tcW w:w="1921" w:type="dxa"/>
            <w:gridSpan w:val="3"/>
            <w:tcBorders>
              <w:left w:val="single" w:sz="8" w:space="0" w:color="000000"/>
            </w:tcBorders>
            <w:shd w:fill="FFFFFF" w:val="clear"/>
            <w:tcMar>
              <w:top w:w="0" w:type="dxa"/>
              <w:left w:w="38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shd w:fill="CDFFCC"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Equity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80.1%</w:t>
            </w:r>
          </w:p>
        </w:tc>
        <w:tc>
          <w:tcPr>
            <w:tcW w:w="811"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ind w:left="0" w:right="0" w:hanging="360"/>
              <w:jc w:val="center"/>
              <w:rPr>
                <w:rFonts w:ascii="Times New Roman;serif" w:hAnsi="Times New Roman;serif"/>
                <w:b w:val="false"/>
                <w:color w:val="000000"/>
                <w:sz w:val="18"/>
              </w:rPr>
            </w:pPr>
            <w:r>
              <w:rPr>
                <w:rFonts w:ascii="Times New Roman;serif" w:hAnsi="Times New Roman;serif"/>
                <w:b w:val="false"/>
                <w:color w:val="000000"/>
                <w:sz w:val="18"/>
              </w:rPr>
              <w:t>Lower fair value</w:t>
            </w:r>
          </w:p>
        </w:tc>
      </w:tr>
      <w:tr>
        <w:trPr/>
        <w:tc>
          <w:tcPr>
            <w:tcW w:w="1921" w:type="dxa"/>
            <w:gridSpan w:val="3"/>
            <w:tcBorders>
              <w:top w:val="single" w:sz="8" w:space="0" w:color="000000"/>
              <w:left w:val="single" w:sz="8" w:space="0" w:color="000000"/>
            </w:tcBorders>
            <w:shd w:fill="CDFFCC" w:val="clear"/>
            <w:tcMar>
              <w:top w:w="30" w:type="dxa"/>
              <w:left w:w="38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direct lending entities</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52,687 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bottom w:val="sing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Discounted cash flows</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22.0%</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22.0%</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22.0%</w:t>
            </w:r>
          </w:p>
        </w:tc>
        <w:tc>
          <w:tcPr>
            <w:tcW w:w="811" w:type="dxa"/>
            <w:gridSpan w:val="3"/>
            <w:tcBorders>
              <w:top w:val="single" w:sz="8" w:space="0" w:color="000000"/>
              <w:right w:val="single" w:sz="8" w:space="0" w:color="000000"/>
            </w:tcBorders>
            <w:shd w:fill="CDFFCC"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Lower fair value</w:t>
            </w:r>
          </w:p>
        </w:tc>
      </w:tr>
      <w:tr>
        <w:trPr/>
        <w:tc>
          <w:tcPr>
            <w:tcW w:w="192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FFFFFF"/>
              </w:rPr>
            </w:pPr>
            <w:r>
              <w:rPr>
                <w:color w:val="FFFFFF"/>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Discounted cash flows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18.0%</w:t>
            </w:r>
          </w:p>
        </w:tc>
        <w:tc>
          <w:tcPr>
            <w:tcW w:w="811" w:type="dxa"/>
            <w:gridSpan w:val="3"/>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Lower fair value</w:t>
            </w:r>
          </w:p>
        </w:tc>
      </w:tr>
      <w:tr>
        <w:trPr/>
        <w:tc>
          <w:tcPr>
            <w:tcW w:w="1921" w:type="dxa"/>
            <w:gridSpan w:val="3"/>
            <w:tcBorders>
              <w:left w:val="single" w:sz="8" w:space="0" w:color="000000"/>
            </w:tcBorders>
            <w:shd w:fill="CDFFCC"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Silverstone Ventures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29,252 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Term to Exit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 years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9.0 years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 years</w:t>
            </w:r>
          </w:p>
        </w:tc>
        <w:tc>
          <w:tcPr>
            <w:tcW w:w="811" w:type="dxa"/>
            <w:gridSpan w:val="3"/>
            <w:tcBorders>
              <w:right w:val="single" w:sz="8" w:space="0" w:color="000000"/>
            </w:tcBorders>
            <w:shd w:fill="CDFFCC" w:val="clear"/>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Lower fair value</w:t>
            </w:r>
          </w:p>
        </w:tc>
      </w:tr>
      <w:tr>
        <w:trPr/>
        <w:tc>
          <w:tcPr>
            <w:tcW w:w="1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1921" w:type="dxa"/>
            <w:gridSpan w:val="3"/>
            <w:vMerge w:val="restart"/>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Extell Hudson Waterfront Holdings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Discounted cash flows &amp; option pricing models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6.8%</w:t>
            </w:r>
          </w:p>
        </w:tc>
        <w:tc>
          <w:tcPr>
            <w:tcW w:w="811" w:type="dxa"/>
            <w:gridSpan w:val="3"/>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Lower fair value</w:t>
            </w:r>
          </w:p>
        </w:tc>
      </w:tr>
      <w:tr>
        <w:trPr/>
        <w:tc>
          <w:tcPr>
            <w:tcW w:w="1921" w:type="dxa"/>
            <w:gridSpan w:val="3"/>
            <w:vMerge w:val="continue"/>
            <w:tcBorders>
              <w:top w:val="single" w:sz="8" w:space="0" w:color="000000"/>
              <w:left w:val="single" w:sz="8" w:space="0" w:color="000000"/>
            </w:tcBorders>
            <w:shd w:fill="FFFFFF" w:val="clear"/>
            <w:tcMar>
              <w:top w:w="30" w:type="dxa"/>
              <w:bottom w:w="0" w:type="dxa"/>
              <w:right w:w="0" w:type="dxa"/>
            </w:tcMar>
            <w:vAlign w:val="center"/>
          </w:tcPr>
          <w:p>
            <w:pPr>
              <w:pStyle w:val="Normal"/>
              <w:bidi w:val="0"/>
              <w:jc w:val="left"/>
              <w:rPr/>
            </w:pPr>
            <w:r>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Exit Cap Rate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w:t>
            </w:r>
          </w:p>
        </w:tc>
        <w:tc>
          <w:tcPr>
            <w:tcW w:w="811" w:type="dxa"/>
            <w:gridSpan w:val="3"/>
            <w:tcBorders>
              <w:right w:val="single" w:sz="8" w:space="0" w:color="000000"/>
            </w:tcBorders>
            <w:shd w:fill="CDFFCC" w:val="clear"/>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Lower fair value</w:t>
            </w:r>
          </w:p>
        </w:tc>
      </w:tr>
      <w:tr>
        <w:trPr/>
        <w:tc>
          <w:tcPr>
            <w:tcW w:w="1921" w:type="dxa"/>
            <w:gridSpan w:val="3"/>
            <w:vMerge w:val="continue"/>
            <w:tcBorders>
              <w:top w:val="single" w:sz="8" w:space="0" w:color="000000"/>
              <w:left w:val="single" w:sz="8" w:space="0" w:color="000000"/>
            </w:tcBorders>
            <w:shd w:fill="FFFFFF" w:val="clear"/>
            <w:tcMar>
              <w:top w:w="3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Equity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37.4%</w:t>
            </w:r>
          </w:p>
        </w:tc>
        <w:tc>
          <w:tcPr>
            <w:tcW w:w="811"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Lower fair value</w:t>
            </w:r>
          </w:p>
        </w:tc>
      </w:tr>
      <w:tr>
        <w:trPr/>
        <w:tc>
          <w:tcPr>
            <w:tcW w:w="1921" w:type="dxa"/>
            <w:gridSpan w:val="3"/>
            <w:vMerge w:val="continue"/>
            <w:tcBorders>
              <w:top w:val="single" w:sz="8" w:space="0" w:color="000000"/>
              <w:left w:val="single" w:sz="8" w:space="0" w:color="000000"/>
            </w:tcBorders>
            <w:shd w:fill="FFFFFF" w:val="clear"/>
            <w:tcMar>
              <w:top w:w="30" w:type="dxa"/>
              <w:bottom w:w="0" w:type="dxa"/>
              <w:right w:w="0" w:type="dxa"/>
            </w:tcMar>
            <w:vAlign w:val="center"/>
          </w:tcPr>
          <w:p>
            <w:pPr>
              <w:pStyle w:val="Normal"/>
              <w:bidi w:val="0"/>
              <w:jc w:val="left"/>
              <w:rPr/>
            </w:pPr>
            <w:r>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Term to Exit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5.7 years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5.7 years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5.7 years</w:t>
            </w:r>
          </w:p>
        </w:tc>
        <w:tc>
          <w:tcPr>
            <w:tcW w:w="811" w:type="dxa"/>
            <w:gridSpan w:val="3"/>
            <w:tcBorders>
              <w:right w:val="single" w:sz="8" w:space="0" w:color="000000"/>
            </w:tcBorders>
            <w:shd w:fill="CDFFCC" w:val="clear"/>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Lower fair value</w:t>
            </w:r>
          </w:p>
        </w:tc>
      </w:tr>
      <w:tr>
        <w:trPr/>
        <w:tc>
          <w:tcPr>
            <w:tcW w:w="1921" w:type="dxa"/>
            <w:gridSpan w:val="3"/>
            <w:vMerge w:val="continue"/>
            <w:tcBorders>
              <w:top w:val="single" w:sz="8" w:space="0" w:color="000000"/>
              <w:left w:val="single" w:sz="8" w:space="0" w:color="000000"/>
            </w:tcBorders>
            <w:shd w:fill="FFFFFF" w:val="clear"/>
            <w:tcMar>
              <w:top w:w="3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 for Lack of Marketability - OPM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16.5%</w:t>
            </w:r>
          </w:p>
        </w:tc>
        <w:tc>
          <w:tcPr>
            <w:tcW w:w="811"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Lower fair value</w:t>
            </w:r>
          </w:p>
        </w:tc>
      </w:tr>
      <w:tr>
        <w:trPr/>
        <w:tc>
          <w:tcPr>
            <w:tcW w:w="1921" w:type="dxa"/>
            <w:gridSpan w:val="3"/>
            <w:vMerge w:val="continue"/>
            <w:tcBorders>
              <w:top w:val="single" w:sz="8" w:space="0" w:color="000000"/>
              <w:left w:val="single" w:sz="8" w:space="0" w:color="000000"/>
            </w:tcBorders>
            <w:shd w:fill="FFFFFF" w:val="clear"/>
            <w:tcMar>
              <w:top w:w="30" w:type="dxa"/>
              <w:bottom w:w="0" w:type="dxa"/>
              <w:right w:w="0" w:type="dxa"/>
            </w:tcMar>
            <w:vAlign w:val="center"/>
          </w:tcPr>
          <w:p>
            <w:pPr>
              <w:pStyle w:val="Normal"/>
              <w:bidi w:val="0"/>
              <w:jc w:val="left"/>
              <w:rPr/>
            </w:pPr>
            <w:r>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 for Lack of Marketability</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811" w:type="dxa"/>
            <w:gridSpan w:val="3"/>
            <w:tcBorders>
              <w:right w:val="single" w:sz="8" w:space="0" w:color="000000"/>
            </w:tcBorders>
            <w:shd w:fill="CDFFCC" w:val="clear"/>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Lower fair value</w:t>
            </w:r>
          </w:p>
        </w:tc>
      </w:tr>
      <w:tr>
        <w:trPr/>
        <w:tc>
          <w:tcPr>
            <w:tcW w:w="192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Level 3 Investments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142,681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vMerge w:val="restart"/>
            <w:tcBorders>
              <w:left w:val="single" w:sz="8" w:space="0" w:color="000000"/>
            </w:tcBorders>
            <w:shd w:fill="CDFFCC"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Contingent Receivable</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10,159 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Discounted cash flows &amp; Option pricing models</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EBITDA &amp; Commission Discount Rate</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25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25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25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gridSpan w:val="3"/>
            <w:tcBorders>
              <w:top w:val="single" w:sz="8" w:space="0" w:color="000000"/>
              <w:right w:val="single" w:sz="8" w:space="0" w:color="000000"/>
            </w:tcBorders>
            <w:shd w:fill="CDFFCC"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Lower fair value</w:t>
            </w:r>
          </w:p>
        </w:tc>
      </w:tr>
      <w:tr>
        <w:trPr/>
        <w:tc>
          <w:tcPr>
            <w:tcW w:w="1921" w:type="dxa"/>
            <w:gridSpan w:val="3"/>
            <w:vMerge w:val="continue"/>
            <w:tcBorders>
              <w:left w:val="single" w:sz="8" w:space="0" w:color="000000"/>
            </w:tcBorders>
            <w:shd w:fill="CDFFCC" w:val="clear"/>
            <w:tcMar>
              <w:top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shd w:fill="CDFFCC"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EBITDA &amp; Commission Equity Volatility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Lower fair value</w:t>
            </w:r>
          </w:p>
        </w:tc>
      </w:tr>
      <w:tr>
        <w:trPr/>
        <w:tc>
          <w:tcPr>
            <w:tcW w:w="1921"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Underwriting-related derivative liability</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Discounted cash flows</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Duration matched discount rates</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w:t>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c>
          <w:tcPr>
            <w:tcW w:w="72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w:t>
            </w:r>
          </w:p>
        </w:tc>
        <w:tc>
          <w:tcPr>
            <w:tcW w:w="811" w:type="dxa"/>
            <w:gridSpan w:val="3"/>
            <w:tcBorders>
              <w:top w:val="single" w:sz="8" w:space="0" w:color="000000"/>
              <w:bottom w:val="single" w:sz="8" w:space="0" w:color="000000"/>
              <w:right w:val="single" w:sz="8" w:space="0" w:color="000000"/>
            </w:tcBorders>
            <w:shd w:fill="FFFFFF" w:val="clear"/>
            <w:tcMar>
              <w:top w:w="30" w:type="dxa"/>
              <w:left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Lower fair value</w:t>
            </w:r>
          </w:p>
        </w:tc>
      </w:tr>
      <w:tr>
        <w:trPr/>
        <w:tc>
          <w:tcPr>
            <w:tcW w:w="1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5. Fair Value Measurements (continued)</w:t>
      </w:r>
    </w:p>
    <w:p>
      <w:pPr>
        <w:pStyle w:val="TextBody"/>
        <w:bidi w:val="0"/>
        <w:spacing w:lineRule="auto" w:line="240" w:before="0" w:after="120"/>
        <w:jc w:val="left"/>
        <w:rPr>
          <w:rFonts w:ascii="Times New Roman;serif" w:hAnsi="Times New Roman;serif"/>
          <w:b/>
          <w:i/>
          <w:color w:val="000000"/>
          <w:sz w:val="20"/>
        </w:rPr>
      </w:pPr>
      <w:r>
        <w:rPr>
          <w:rFonts w:ascii="Times New Roman;serif" w:hAnsi="Times New Roman;serif"/>
          <w:b/>
          <w:i/>
          <w:color w:val="000000"/>
          <w:sz w:val="20"/>
        </w:rPr>
        <w:t>(d) Financial Instruments Disclosed, But Not Carried, at Fair Value</w:t>
      </w:r>
    </w:p>
    <w:p>
      <w:pPr>
        <w:pStyle w:val="TextBody"/>
        <w:bidi w:val="0"/>
        <w:spacing w:lineRule="auto" w:line="240" w:before="0" w:after="120"/>
        <w:ind w:left="0" w:right="0" w:firstLine="270"/>
        <w:jc w:val="both"/>
        <w:rPr/>
      </w:pPr>
      <w:r>
        <w:rPr>
          <w:rFonts w:ascii="Times New Roman;serif" w:hAnsi="Times New Roman;serif"/>
          <w:b w:val="false"/>
          <w:color w:val="000000"/>
          <w:sz w:val="20"/>
          <w:shd w:fill="FFFFFF" w:val="clear"/>
        </w:rPr>
        <w:t>The fair value of financial instruments accounting guidance also applies to financial instruments disclosed, but not carried, at fair value, except for certain financial instruments related to insurance contracts</w:t>
      </w:r>
      <w:r>
        <w:rPr>
          <w:rFonts w:ascii="Times New Roman;serif" w:hAnsi="Times New Roman;serif"/>
          <w:b w:val="false"/>
          <w:color w:val="000000"/>
          <w:sz w:val="20"/>
        </w:rPr>
        <w:t xml:space="preserve">.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At March 31, 2026, the carrying values of cash equivalents (including restricted amounts), accrued investment income, reinsurance balances receivable and certain other assets and liabilities approximate fair values due to their inherent short duration. As these financial instruments are not actively traded, the fair values of these financial instruments are classified as Level 2 in the fair value hierarchy.</w:t>
      </w:r>
    </w:p>
    <w:p>
      <w:pPr>
        <w:pStyle w:val="TextBody"/>
        <w:bidi w:val="0"/>
        <w:spacing w:lineRule="auto" w:line="240" w:before="0" w:after="120"/>
        <w:ind w:left="0" w:right="0" w:firstLine="27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March 31, 2026, the carrying value of the net loan receivable from related party approximates fair value. The fair value of the net loan receivable is primarily determined by estimating expected future cash flows and discounting them using current interest rates for similar loans with similar credit risk. As the net loan receivable from related party is not actively traded, its fair value is classified as Level 3 in the fair value hierarchy.</w:t>
      </w:r>
    </w:p>
    <w:p>
      <w:pPr>
        <w:pStyle w:val="TextBody"/>
        <w:bidi w:val="0"/>
        <w:spacing w:lineRule="auto" w:line="240" w:before="0" w:after="0"/>
        <w:ind w:left="0" w:right="0" w:firstLine="270"/>
        <w:jc w:val="both"/>
        <w:rPr/>
      </w:pPr>
      <w:r>
        <w:rPr>
          <w:rFonts w:ascii="Times New Roman;serif" w:hAnsi="Times New Roman;serif"/>
          <w:b w:val="false"/>
          <w:color w:val="000000"/>
          <w:sz w:val="20"/>
        </w:rPr>
        <w:t xml:space="preserve">The fair values of the Company's outstanding Senior Notes (as defined in </w:t>
      </w:r>
      <w:r>
        <w:rPr>
          <w:rFonts w:ascii="Times New Roman;serif" w:hAnsi="Times New Roman;serif"/>
          <w:b w:val="false"/>
          <w:i/>
          <w:color w:val="000000"/>
          <w:sz w:val="20"/>
        </w:rPr>
        <w:t>Note 7. Long-Term Debt</w:t>
      </w:r>
      <w:r>
        <w:rPr>
          <w:rFonts w:ascii="Times New Roman;serif" w:hAnsi="Times New Roman;serif"/>
          <w:b w:val="false"/>
          <w:color w:val="000000"/>
          <w:sz w:val="20"/>
        </w:rPr>
        <w:t>) are based on indicative market pricing obtained from a third-party pricing service which uses observable market inputs, and therefore the fair values of these liabilities are classified as Level 2 in the fair value hierarchy. The following table presents the respective principal amount and fair values for the Senior Notes as at March 31, 2026 and December 31, 2025:</w:t>
      </w:r>
    </w:p>
    <w:p>
      <w:pPr>
        <w:pStyle w:val="TextBody"/>
        <w:bidi w:val="0"/>
        <w:spacing w:before="0" w:after="0"/>
        <w:ind w:left="0" w:right="0" w:firstLine="270"/>
        <w:jc w:val="both"/>
        <w:rPr/>
      </w:pPr>
      <w:r>
        <w:rPr/>
      </w:r>
    </w:p>
    <w:tbl>
      <w:tblPr>
        <w:tblW w:w="8744" w:type="dxa"/>
        <w:jc w:val="left"/>
        <w:tblInd w:w="0" w:type="dxa"/>
        <w:tblLayout w:type="fixed"/>
        <w:tblCellMar>
          <w:top w:w="28" w:type="dxa"/>
          <w:left w:w="28" w:type="dxa"/>
          <w:bottom w:w="28" w:type="dxa"/>
          <w:right w:w="28" w:type="dxa"/>
        </w:tblCellMar>
      </w:tblPr>
      <w:tblGrid>
        <w:gridCol w:w="976"/>
        <w:gridCol w:w="858"/>
        <w:gridCol w:w="866"/>
        <w:gridCol w:w="109"/>
        <w:gridCol w:w="109"/>
        <w:gridCol w:w="109"/>
        <w:gridCol w:w="212"/>
        <w:gridCol w:w="833"/>
        <w:gridCol w:w="109"/>
        <w:gridCol w:w="109"/>
        <w:gridCol w:w="109"/>
        <w:gridCol w:w="109"/>
        <w:gridCol w:w="211"/>
        <w:gridCol w:w="826"/>
        <w:gridCol w:w="109"/>
        <w:gridCol w:w="109"/>
        <w:gridCol w:w="109"/>
        <w:gridCol w:w="109"/>
        <w:gridCol w:w="229"/>
        <w:gridCol w:w="898"/>
        <w:gridCol w:w="118"/>
        <w:gridCol w:w="109"/>
        <w:gridCol w:w="109"/>
        <w:gridCol w:w="109"/>
        <w:gridCol w:w="211"/>
        <w:gridCol w:w="826"/>
        <w:gridCol w:w="154"/>
      </w:tblGrid>
      <w:tr>
        <w:trPr/>
        <w:tc>
          <w:tcPr>
            <w:tcW w:w="97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Senior Notes - MHLA – 6.625%</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46,772 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110,000 </w:t>
            </w:r>
          </w:p>
        </w:tc>
        <w:tc>
          <w:tcPr>
            <w:tcW w:w="11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57,200 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Senior Notes - MHNC – 7.75%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152,361 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Senior Notes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262,361 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119,844 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262,361 </w:t>
            </w:r>
          </w:p>
        </w:tc>
        <w:tc>
          <w:tcPr>
            <w:tcW w:w="118"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153,492 </w:t>
            </w:r>
          </w:p>
        </w:tc>
        <w:tc>
          <w:tcPr>
            <w:tcW w:w="15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100" w:after="12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6. Shareholders' Equity</w:t>
      </w:r>
    </w:p>
    <w:p>
      <w:pPr>
        <w:pStyle w:val="TextBody"/>
        <w:bidi w:val="0"/>
        <w:spacing w:lineRule="auto" w:line="240" w:before="0" w:after="120"/>
        <w:ind w:left="0" w:right="0" w:hanging="270"/>
        <w:jc w:val="both"/>
        <w:rPr>
          <w:rFonts w:ascii="Times New Roman;serif" w:hAnsi="Times New Roman;serif"/>
          <w:b/>
          <w:i/>
          <w:color w:val="000000"/>
          <w:sz w:val="20"/>
        </w:rPr>
      </w:pPr>
      <w:r>
        <w:rPr>
          <w:rFonts w:ascii="Times New Roman;serif" w:hAnsi="Times New Roman;serif"/>
          <w:b/>
          <w:i/>
          <w:color w:val="000000"/>
          <w:sz w:val="20"/>
        </w:rPr>
        <w:t>a)Common Shares</w:t>
      </w:r>
    </w:p>
    <w:p>
      <w:pPr>
        <w:pStyle w:val="TextBody"/>
        <w:bidi w:val="0"/>
        <w:spacing w:lineRule="auto" w:line="240" w:before="60" w:after="120"/>
        <w:ind w:left="0" w:right="0" w:firstLine="270"/>
        <w:jc w:val="both"/>
        <w:rPr/>
      </w:pPr>
      <w:r>
        <w:rPr>
          <w:rFonts w:ascii="Times New Roman;serif" w:hAnsi="Times New Roman;serif"/>
          <w:b w:val="false"/>
          <w:color w:val="000000"/>
          <w:sz w:val="20"/>
        </w:rPr>
        <w:t xml:space="preserve">As discussed in </w:t>
      </w:r>
      <w:r>
        <w:rPr>
          <w:rFonts w:ascii="Times New Roman;serif" w:hAnsi="Times New Roman;serif"/>
          <w:b w:val="false"/>
          <w:i/>
          <w:color w:val="000000"/>
          <w:sz w:val="20"/>
        </w:rPr>
        <w:t>Note 1. Basis of Presentation</w:t>
      </w:r>
      <w:r>
        <w:rPr>
          <w:rFonts w:ascii="Times New Roman;serif" w:hAnsi="Times New Roman;serif"/>
          <w:b w:val="false"/>
          <w:color w:val="000000"/>
          <w:sz w:val="20"/>
        </w:rPr>
        <w:t>, pursuant to the terms of the Combination, at the closing of the transaction on May 27, 2025, each issued and outstanding common share of Maiden, par value $0.01 per share, was automatically canceled and converted into the right to receive one-twentieth (0.05) of a common share in Kestrel Group. The equityholders of Kestrel LLC at the closing date received 2,749,996 common shares of the Kestrel Group. Fractional shares for both Maiden and Kestrel LLC were paid out in cash at the closing date.</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Company’s authorized share capital after the Combination consists of 42,500,000 common shares. The Company's common shares have a par value of $0.01 per share. Kestrel Group common shareholders are entitled to receive dividends. For the three months ended March 31, 2026, the Company's Board of Directors did not declare any dividends to common shareholders. Holders of Kestrel Group common shares have no pre-emptive, redemption, conversion or sinking fund rights. Holders of Kestrel Group common shares are entitled to one vote per share on all matters submitted to a vote of holders of Kestrel Group common shares. Most matters to be approved by holders of Kestrel Group common shares require approval by a simple majority vote. Under the Kestrel Group bye-laws, the holders of at least a majority of the Kestrel Group common shares voting in person or by proxy at a meeting must approve any merger, amalgamation, business combination or similar transaction with another company.</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At March 31, 2026, the aggregate authorized share capital of the Company is 42,500,000 shares of which 10,108,600 common shares were issued. This includes 7,824,030 common shares outstanding, and 2,284,570 treasury shares as discussed further below. The remaining 32,391,400 shares are undesignated at March 31, 2026 which include 655,643 common shares that will be issued and outstanding upon vesting of restricted shares.</w:t>
      </w:r>
    </w:p>
    <w:p>
      <w:pPr>
        <w:pStyle w:val="TextBody"/>
        <w:bidi w:val="0"/>
        <w:spacing w:lineRule="auto" w:line="240" w:before="0" w:after="120"/>
        <w:ind w:left="0" w:right="0" w:hanging="270"/>
        <w:jc w:val="both"/>
        <w:rPr>
          <w:rFonts w:ascii="Times New Roman;serif" w:hAnsi="Times New Roman;serif"/>
          <w:b/>
          <w:i/>
          <w:color w:val="000000"/>
          <w:sz w:val="20"/>
        </w:rPr>
      </w:pPr>
      <w:r>
        <w:rPr>
          <w:rFonts w:ascii="Times New Roman;serif" w:hAnsi="Times New Roman;serif"/>
          <w:b/>
          <w:i/>
          <w:color w:val="000000"/>
          <w:sz w:val="20"/>
        </w:rPr>
        <w:t>b)Common Shares issuable under Incentive Plans</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June 3, 2025, a Registration Statement on Form S-8 was filed by Kestrel Group for the purpose of registering 1,411,600 common shares, par value $0.01 per share, of the Company which include:</w:t>
      </w:r>
    </w:p>
    <w:p>
      <w:pPr>
        <w:pStyle w:val="TextBody"/>
        <w:bidi w:val="0"/>
        <w:spacing w:lineRule="auto" w:line="240" w:before="60" w:after="120"/>
        <w:ind w:left="0" w:right="0" w:hanging="180"/>
        <w:jc w:val="both"/>
        <w:rPr/>
      </w:pPr>
      <w:r>
        <w:rPr>
          <w:color w:val="000000"/>
        </w:rPr>
        <w:t>•</w:t>
      </w:r>
      <w:r>
        <w:rPr>
          <w:rFonts w:ascii="Times New Roman;serif" w:hAnsi="Times New Roman;serif"/>
          <w:b w:val="false"/>
          <w:color w:val="000000"/>
          <w:sz w:val="20"/>
        </w:rPr>
        <w:t>206,600 common shares are issuable in respect of outstanding awards under the Maiden Holdings, Ltd. 2019 Omnibus Incentive Plan (“Legacy Plan”) and any such additional shares granted under the Legacy Plan that were forfeited, cancelled, exchanged or surrendered, including in connection with the termination or expiration of an award, that then become available under the Legacy Plan in accordance with its terms. The Legacy Plan was assigned to and assumed by the Company at the effective time of the mergers. Such aggregate number of common shares issuable under the Legacy Plan reflects the conversion required by the terms of the Combination Agreement; and</w:t>
      </w:r>
    </w:p>
    <w:p>
      <w:pPr>
        <w:pStyle w:val="TextBody"/>
        <w:bidi w:val="0"/>
        <w:spacing w:lineRule="auto" w:line="240" w:before="60" w:after="120"/>
        <w:ind w:left="0" w:right="0" w:hanging="180"/>
        <w:jc w:val="both"/>
        <w:rPr/>
      </w:pPr>
      <w:r>
        <w:rPr>
          <w:color w:val="000000"/>
        </w:rPr>
        <w:t>•</w:t>
      </w:r>
      <w:r>
        <w:rPr>
          <w:rFonts w:ascii="Times New Roman;serif" w:hAnsi="Times New Roman;serif"/>
          <w:b w:val="false"/>
          <w:color w:val="000000"/>
          <w:sz w:val="20"/>
        </w:rPr>
        <w:t>1,205,000 common shares are issuable under the Kestrel Group Ltd 2025 Equity Incentive Plan (“Kestrel Group Plan”).</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there were 648,569 restricted share awards granted to employees under the Kestrel Group Plan.</w:t>
      </w:r>
    </w:p>
    <w:p>
      <w:pPr>
        <w:pStyle w:val="TextBody"/>
        <w:bidi w:val="0"/>
        <w:spacing w:lineRule="auto" w:line="240" w:before="0" w:after="120"/>
        <w:ind w:left="0" w:right="0" w:hanging="270"/>
        <w:jc w:val="both"/>
        <w:rPr>
          <w:rFonts w:ascii="Times New Roman;serif" w:hAnsi="Times New Roman;serif"/>
          <w:b/>
          <w:i/>
          <w:color w:val="000000"/>
          <w:sz w:val="20"/>
        </w:rPr>
      </w:pPr>
      <w:r>
        <w:rPr>
          <w:rFonts w:ascii="Times New Roman;serif" w:hAnsi="Times New Roman;serif"/>
          <w:b/>
          <w:i/>
          <w:color w:val="000000"/>
          <w:sz w:val="20"/>
        </w:rPr>
        <w:t>c)Treasury Shares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Treasury shares include 2,237,534 common shares owned by Maiden Reinsurance which are not treated as outstanding common shares on the Condensed Consolidated Balance Sheets at March 31, 2026 and December 31, 2025, respectively.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repurchased 47,036 common shares at an average price of $10.32 per share from employees, which represent tax withholding in respect of tax obligations on the vesting of non-performance-based restricted shares. There were no share repurchases from employees during the same period in 2025.</w:t>
      </w:r>
    </w:p>
    <w:p>
      <w:pPr>
        <w:pStyle w:val="TextBody"/>
        <w:bidi w:val="0"/>
        <w:spacing w:lineRule="auto" w:line="240" w:before="0" w:after="6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table below includes the total number of treasury shares outstanding at March 31, 2026 and December 31, 2025:</w:t>
      </w:r>
    </w:p>
    <w:tbl>
      <w:tblPr>
        <w:tblW w:w="10205" w:type="dxa"/>
        <w:jc w:val="left"/>
        <w:tblInd w:w="0" w:type="dxa"/>
        <w:tblLayout w:type="fixed"/>
        <w:tblCellMar>
          <w:top w:w="28" w:type="dxa"/>
          <w:left w:w="28" w:type="dxa"/>
          <w:bottom w:w="28" w:type="dxa"/>
          <w:right w:w="28" w:type="dxa"/>
        </w:tblCellMar>
      </w:tblPr>
      <w:tblGrid>
        <w:gridCol w:w="2396"/>
        <w:gridCol w:w="2103"/>
        <w:gridCol w:w="2114"/>
        <w:gridCol w:w="109"/>
        <w:gridCol w:w="109"/>
        <w:gridCol w:w="109"/>
        <w:gridCol w:w="488"/>
        <w:gridCol w:w="488"/>
        <w:gridCol w:w="417"/>
        <w:gridCol w:w="109"/>
        <w:gridCol w:w="109"/>
        <w:gridCol w:w="109"/>
        <w:gridCol w:w="242"/>
        <w:gridCol w:w="1122"/>
        <w:gridCol w:w="181"/>
      </w:tblGrid>
      <w:tr>
        <w:trPr/>
        <w:tc>
          <w:tcPr>
            <w:tcW w:w="2396"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66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613"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common shares held by Maiden Reinsurance treated as treasury shares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2,237,534 </w:t>
            </w:r>
          </w:p>
        </w:tc>
        <w:tc>
          <w:tcPr>
            <w:tcW w:w="417"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2,237,534 </w:t>
            </w:r>
          </w:p>
        </w:tc>
        <w:tc>
          <w:tcPr>
            <w:tcW w:w="181"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treasury shares due to common share repurchases by Kestrel Group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47,036 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3"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number of treasury shares at the end of the reporting period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2,284,570 </w:t>
            </w:r>
          </w:p>
        </w:tc>
        <w:tc>
          <w:tcPr>
            <w:tcW w:w="417"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2,237,534 </w:t>
            </w:r>
          </w:p>
        </w:tc>
        <w:tc>
          <w:tcPr>
            <w:tcW w:w="181"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hanging="270"/>
        <w:jc w:val="left"/>
        <w:rPr>
          <w:rFonts w:ascii="Times New Roman;serif" w:hAnsi="Times New Roman;serif"/>
          <w:b/>
          <w:i/>
          <w:color w:val="000000"/>
          <w:sz w:val="20"/>
        </w:rPr>
      </w:pPr>
      <w:r>
        <w:rPr>
          <w:rFonts w:ascii="Times New Roman;serif" w:hAnsi="Times New Roman;serif"/>
          <w:b/>
          <w:i/>
          <w:color w:val="000000"/>
          <w:sz w:val="20"/>
        </w:rPr>
        <w:t>d)Accumulated Other Comprehensive Income ("AOCI")</w:t>
      </w:r>
    </w:p>
    <w:p>
      <w:pPr>
        <w:pStyle w:val="TextBody"/>
        <w:bidi w:val="0"/>
        <w:spacing w:lineRule="auto" w:line="240"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financial information regarding the changes in the balances of each component of AOCI:</w:t>
      </w:r>
    </w:p>
    <w:tbl>
      <w:tblPr>
        <w:tblW w:w="10205" w:type="dxa"/>
        <w:jc w:val="center"/>
        <w:tblInd w:w="0" w:type="dxa"/>
        <w:tblLayout w:type="fixed"/>
        <w:tblCellMar>
          <w:top w:w="28" w:type="dxa"/>
          <w:left w:w="28" w:type="dxa"/>
          <w:bottom w:w="28" w:type="dxa"/>
          <w:right w:w="28" w:type="dxa"/>
        </w:tblCellMar>
      </w:tblPr>
      <w:tblGrid>
        <w:gridCol w:w="1546"/>
        <w:gridCol w:w="1167"/>
        <w:gridCol w:w="1178"/>
        <w:gridCol w:w="109"/>
        <w:gridCol w:w="109"/>
        <w:gridCol w:w="109"/>
        <w:gridCol w:w="713"/>
        <w:gridCol w:w="1580"/>
        <w:gridCol w:w="372"/>
        <w:gridCol w:w="109"/>
        <w:gridCol w:w="109"/>
        <w:gridCol w:w="109"/>
        <w:gridCol w:w="490"/>
        <w:gridCol w:w="1086"/>
        <w:gridCol w:w="256"/>
        <w:gridCol w:w="109"/>
        <w:gridCol w:w="109"/>
        <w:gridCol w:w="109"/>
        <w:gridCol w:w="211"/>
        <w:gridCol w:w="466"/>
        <w:gridCol w:w="159"/>
      </w:tblGrid>
      <w:tr>
        <w:trPr/>
        <w:tc>
          <w:tcPr>
            <w:tcW w:w="1546"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in net unrealized gains on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891"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37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25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5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AOCI to net loss, net of tax</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7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c>
          <w:tcPr>
            <w:tcW w:w="3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72"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25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5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3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3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3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3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3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3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3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3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3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3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3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3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3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3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3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3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3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3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3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3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3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3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3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3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3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3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200" w:after="120"/>
        <w:jc w:val="both"/>
        <w:rPr>
          <w:rFonts w:ascii="Times New Roman;serif" w:hAnsi="Times New Roman;serif"/>
          <w:b/>
          <w:color w:val="000000"/>
          <w:sz w:val="20"/>
        </w:rPr>
      </w:pPr>
      <w:r>
        <w:rPr>
          <w:rFonts w:ascii="Times New Roman;serif" w:hAnsi="Times New Roman;serif"/>
          <w:b/>
          <w:color w:val="000000"/>
          <w:sz w:val="20"/>
        </w:rPr>
        <w:t>7. Long-Term Debt</w:t>
      </w:r>
    </w:p>
    <w:p>
      <w:pPr>
        <w:pStyle w:val="TextBody"/>
        <w:bidi w:val="0"/>
        <w:spacing w:lineRule="auto" w:line="240" w:before="60" w:after="120"/>
        <w:jc w:val="both"/>
        <w:rPr>
          <w:rFonts w:ascii="Times New Roman;serif" w:hAnsi="Times New Roman;serif"/>
          <w:b/>
          <w:color w:val="000000"/>
          <w:sz w:val="20"/>
        </w:rPr>
      </w:pPr>
      <w:r>
        <w:rPr>
          <w:rFonts w:ascii="Times New Roman;serif" w:hAnsi="Times New Roman;serif"/>
          <w:b/>
          <w:color w:val="000000"/>
          <w:sz w:val="20"/>
        </w:rPr>
        <w:t>Senior Notes</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At March 31, 2026, Kestrel Group had outstanding publicly-traded senior notes which were issued in 2016 ("2016 Senior Notes") by its now wholly owned subsidiary Maiden and outstanding publicly-traded senior notes which were issued in 2013 ("2013 Senior Notes") by its now wholly owned subsidiary, Maiden Holdings North America, Ltd. ("Maiden NA"). These are collectively referred to as the Company's outstanding senior notes ("Senior Notes"). The Senior Notes are unsecured and unsubordinated obligations of the Company.</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May 27, 2025 in connection with the Combination, (i) Maiden, as issuer, the Company, as guarantor, and Wilmington Trust, National Association, as trustee, entered into a second supplemental indenture (the “Second Supplemental Indenture”) to that certain indenture dated as of June 14, 2016, providing that the Company will fully and unconditionally guarantee Maiden’s 6.625% Senior Notes due 2046 and (ii) Maiden NA, as issuer, the Company, as guarantor, and Wilmington Trust Company, as trustee, entered into a fourth supplemental indenture (together with the Second Supplemental Indenture, the “Supplemental Indentures”) to that certain indenture dated as of June 24, 2011, providing that the Company will fully and unconditionally guarantee MHNA’s 7.75% Senior Notes due 2043. </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tables detail the issuances of Senior Notes outstanding at March 31, 2026 and December 31, 2025:</w:t>
      </w:r>
    </w:p>
    <w:tbl>
      <w:tblPr>
        <w:tblW w:w="9267" w:type="dxa"/>
        <w:jc w:val="left"/>
        <w:tblInd w:w="0" w:type="dxa"/>
        <w:tblLayout w:type="fixed"/>
        <w:tblCellMar>
          <w:top w:w="28" w:type="dxa"/>
          <w:left w:w="28" w:type="dxa"/>
          <w:bottom w:w="28" w:type="dxa"/>
          <w:right w:w="28" w:type="dxa"/>
        </w:tblCellMar>
      </w:tblPr>
      <w:tblGrid>
        <w:gridCol w:w="1480"/>
        <w:gridCol w:w="1301"/>
        <w:gridCol w:w="1314"/>
        <w:gridCol w:w="109"/>
        <w:gridCol w:w="109"/>
        <w:gridCol w:w="109"/>
        <w:gridCol w:w="230"/>
        <w:gridCol w:w="900"/>
        <w:gridCol w:w="295"/>
        <w:gridCol w:w="109"/>
        <w:gridCol w:w="109"/>
        <w:gridCol w:w="109"/>
        <w:gridCol w:w="254"/>
        <w:gridCol w:w="995"/>
        <w:gridCol w:w="326"/>
        <w:gridCol w:w="109"/>
        <w:gridCol w:w="109"/>
        <w:gridCol w:w="109"/>
        <w:gridCol w:w="211"/>
        <w:gridCol w:w="826"/>
        <w:gridCol w:w="154"/>
      </w:tblGrid>
      <w:tr>
        <w:trPr/>
        <w:tc>
          <w:tcPr>
            <w:tcW w:w="1480"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2016 Senior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2013 Senior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095"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amount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110,000 </w:t>
            </w:r>
          </w:p>
        </w:tc>
        <w:tc>
          <w:tcPr>
            <w:tcW w:w="295"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152,361 </w:t>
            </w:r>
          </w:p>
        </w:tc>
        <w:tc>
          <w:tcPr>
            <w:tcW w:w="326"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262,361 </w:t>
            </w:r>
          </w:p>
        </w:tc>
        <w:tc>
          <w:tcPr>
            <w:tcW w:w="154"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fair value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43,496 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44,143 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66,504 </w:t>
            </w:r>
          </w:p>
        </w:tc>
        <w:tc>
          <w:tcPr>
            <w:tcW w:w="295"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108,218 </w:t>
            </w:r>
          </w:p>
        </w:tc>
        <w:tc>
          <w:tcPr>
            <w:tcW w:w="326"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174,722 </w:t>
            </w:r>
          </w:p>
        </w:tc>
        <w:tc>
          <w:tcPr>
            <w:tcW w:w="154"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2016 Senior Notes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2013 Senior Notes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0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Principal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110,000 </w:t>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152,361 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issuance costs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43,627 </w:t>
            </w:r>
          </w:p>
        </w:tc>
        <w:tc>
          <w:tcPr>
            <w:tcW w:w="29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44,332 </w:t>
            </w:r>
          </w:p>
        </w:tc>
        <w:tc>
          <w:tcPr>
            <w:tcW w:w="32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87,959 </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66,373 </w:t>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108,029 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doub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Original fair value adjustment at acquisition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43,928 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44,764 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Maturity date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14, 2046</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 2043</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Earliest redeemable date (for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14,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 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Coupon rate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6.625 </w:t>
            </w:r>
          </w:p>
        </w:tc>
        <w:tc>
          <w:tcPr>
            <w:tcW w:w="295"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32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Total interest and amortization expense incurred on the Senior Notes for the three months ended March 31, 2026 was $5,096; of which $1,342 was accrued as interest payable at March 31, 2026 and December 31, 2025, respectively. Under the Combination, the Senior Notes were acquired at their respective fair market values on May 27, 2025, therefore the difference between the principal amount of the acquired debt and the fair market value of the acquired debt is being amortized over the remaining life of the Senior Notes up to par value. The amortization for the fair value adjustment was $320 for the three months ended March 31, 2026.</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Under the terms of the 2013 Senior Notes, the 2013 Senior Notes can be redeemed, in whole or in part, at Maiden NA's option at any time and from time to time, until maturity at a redemption price equal to 100% of the principal amount of the notes to be redeemed plus accrued but unpaid interest on the principal amount being redeemed to, but not including, the redemption date. Maiden NA is required to give at least thirty days and not more than sixty days notice prior to the redemption date. Please refer to </w:t>
      </w:r>
      <w:r>
        <w:rPr>
          <w:rFonts w:ascii="Times New Roman;serif" w:hAnsi="Times New Roman;serif"/>
          <w:b w:val="false"/>
          <w:i/>
          <w:color w:val="000000"/>
          <w:sz w:val="20"/>
        </w:rPr>
        <w:t xml:space="preserve">Note 11. Commitments, Contingencies and Guarantees </w:t>
      </w:r>
      <w:r>
        <w:rPr>
          <w:rFonts w:ascii="Times New Roman;serif" w:hAnsi="Times New Roman;serif"/>
          <w:b w:val="false"/>
          <w:color w:val="000000"/>
          <w:sz w:val="20"/>
        </w:rPr>
        <w:t>for ongoing litigation regarding the 2013 Senior Notes.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Under the terms of the 2016 Senior Notes, the 2016 Senior Notes can be redeemed, in whole or in part, at Maiden's option at any time and from time to time, until maturity at a redemption price equal to 100% of the principal amount of the notes to be redeemed plus accrued but unpaid interest on the principal amount being redeemed to, but not including, the redemption date. Maiden is required to give at least thirty days and not more than sixty days notice prior to the redemption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 xml:space="preserve">8. Reinsurance </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uses reinsurance and retrocessional agreements ("ceded reinsurance") to mitigate volatility, reduce its exposure to certain risks and provide capital support. Ceded reinsurance provides for the recovery of a portion of loss and LAE under certain circumstances without relieving the Company of its obligations to the policyholders. The Company remains liable to the extent that any of its reinsurers or retrocessionaires fails to meet their obligations. Loss and LAE incurred and premiums earned are reported after deduction for ceded reinsurance. In the event that one or more of our reinsurers or retrocessionaires are unable to meet their obligations under these agreements, the Company would not realize the full value of the reinsurance recoverable balances.</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effect of ceded reinsurance on net premiums written and earned and on net loss and LAE for the three months ended March 31, 2026 was as follows: </w:t>
      </w:r>
    </w:p>
    <w:tbl>
      <w:tblPr>
        <w:tblW w:w="4526" w:type="dxa"/>
        <w:jc w:val="center"/>
        <w:tblInd w:w="0" w:type="dxa"/>
        <w:tblLayout w:type="fixed"/>
        <w:tblCellMar>
          <w:top w:w="28" w:type="dxa"/>
          <w:left w:w="28" w:type="dxa"/>
          <w:bottom w:w="28" w:type="dxa"/>
          <w:right w:w="28" w:type="dxa"/>
        </w:tblCellMar>
      </w:tblPr>
      <w:tblGrid>
        <w:gridCol w:w="1085"/>
        <w:gridCol w:w="953"/>
        <w:gridCol w:w="962"/>
        <w:gridCol w:w="109"/>
        <w:gridCol w:w="109"/>
        <w:gridCol w:w="109"/>
        <w:gridCol w:w="211"/>
        <w:gridCol w:w="616"/>
        <w:gridCol w:w="109"/>
        <w:gridCol w:w="109"/>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Premiums written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Direct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Ceded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Premiums earned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Direct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Assumed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Ceded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Loss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Gross loss and LAE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Loss and LAE ceded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reinsurance recoverable on unpaid losses balance as at March 31, 2026 was $436,381 (December 31, 2025: $461,197) presented in the Condensed Consolidated Balance Sheets. As of March 31, 2026, the Company's total allowance for expected credit losses on its reinsurance recoverable balance was $1,930 (December 31, 2025: $1,740).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beginning and ending balances of the allowance for expected credit losses on reinsurance recoverable for the three months ended March 31, 2026:</w:t>
      </w:r>
    </w:p>
    <w:tbl>
      <w:tblPr>
        <w:tblW w:w="10205" w:type="dxa"/>
        <w:jc w:val="left"/>
        <w:tblInd w:w="0" w:type="dxa"/>
        <w:tblLayout w:type="fixed"/>
        <w:tblCellMar>
          <w:top w:w="28" w:type="dxa"/>
          <w:left w:w="28" w:type="dxa"/>
          <w:bottom w:w="28" w:type="dxa"/>
          <w:right w:w="28" w:type="dxa"/>
        </w:tblCellMar>
      </w:tblPr>
      <w:tblGrid>
        <w:gridCol w:w="3048"/>
        <w:gridCol w:w="2585"/>
        <w:gridCol w:w="2609"/>
        <w:gridCol w:w="109"/>
        <w:gridCol w:w="109"/>
        <w:gridCol w:w="109"/>
        <w:gridCol w:w="211"/>
        <w:gridCol w:w="616"/>
        <w:gridCol w:w="109"/>
        <w:gridCol w:w="109"/>
        <w:gridCol w:w="109"/>
        <w:gridCol w:w="109"/>
        <w:gridCol w:w="109"/>
        <w:gridCol w:w="109"/>
        <w:gridCol w:w="155"/>
      </w:tblGrid>
      <w:tr>
        <w:trPr/>
        <w:tc>
          <w:tcPr>
            <w:tcW w:w="3048" w:type="dxa"/>
            <w:tcBorders/>
            <w:vAlign w:val="center"/>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4"/>
            <w:tcBorders/>
          </w:tcPr>
          <w:p>
            <w:pPr>
              <w:pStyle w:val="TableContents"/>
              <w:bidi w:val="0"/>
              <w:spacing w:before="0" w:after="283"/>
              <w:jc w:val="left"/>
              <w:rPr>
                <w:sz w:val="4"/>
                <w:szCs w:val="4"/>
              </w:rPr>
            </w:pPr>
            <w:r>
              <w:rPr>
                <w:sz w:val="4"/>
                <w:szCs w:val="4"/>
              </w:rPr>
            </w:r>
          </w:p>
        </w:tc>
      </w:tr>
      <w:tr>
        <w:trPr/>
        <w:tc>
          <w:tcPr>
            <w:tcW w:w="8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242"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expected credit losses on reinsurance recoverable, beginning of period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Increase in allowance for expected credit losses on reinsurance recoverable where credit losses were previously recognized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24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Allowance for expected credit losses on reinsurance recoverable, end of period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1,930 </w:t>
            </w:r>
          </w:p>
        </w:tc>
        <w:tc>
          <w:tcPr>
            <w:tcW w:w="109"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December 27, 2018, Cavello Bay Reinsurance Limited ("Cavello") and Maiden Reinsurance entered into a retrocession agreement pursuant to which certain assets and liabilities associated with the U.S. treaty reinsurance business held by Maiden Reinsurance were 100.0% retroceded to Cavello in exchange for a ceding commission. The reinsurance recoverable on unpaid losses due from Cavello under this retrocession agreement was $32,181 at March 31, 2026 (December 31, 2025: $32,791). The recoverable due from Cavello is net of an allowance for expected credit losses of $700 as at March 31, 2026 (December 31, 2025: $689).</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On July 31, 2019, Maiden Reinsurance and Cavello entered into a Loss Portfolio Transfer and Adverse Development Cover Agreement ("LPT/ADC Agreement") pursuant to which Cavello assumed the loss reserves as of December 31, 2018 associated with the AmTrust Quota Share in excess of a $2,178,535 retention up to $600,000, in exchange for a retrocession premium of $445,000. The $2,178,535 retention is subject to adjustment for paid losses subsequent to December 31, 2018. The LPT/ADC Agreement provides Maiden Reinsurance with $155,000 in adverse development cover over its carried AmTrust Quota Share loss reserves at December 31, 2018. The LPT/ADC Agreement meets the criteria for risk transfer and is thus accounted for as retroactive reinsurance. As of March 31, 2026, the reinsurance recoverable on unpaid losses under the LPT/ADC Agreement was $403,037 (December 31, 2025: $427,013) which was net of an allowance for expected credit losses of $1,227 as at March 31, 2026 (December 31, 2025: $1,048).</w:t>
      </w:r>
    </w:p>
    <w:p>
      <w:pPr>
        <w:pStyle w:val="TextBody"/>
        <w:bidi w:val="0"/>
        <w:spacing w:before="60" w:after="120"/>
        <w:ind w:left="0" w:right="0" w:firstLine="270"/>
        <w:jc w:val="both"/>
        <w:rPr/>
      </w:pPr>
      <w:r>
        <w:rPr/>
      </w:r>
    </w:p>
    <w:p>
      <w:pPr>
        <w:pStyle w:val="TextBody"/>
        <w:bidi w:val="0"/>
        <w:spacing w:before="6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60" w:after="120"/>
        <w:jc w:val="left"/>
        <w:rPr>
          <w:rFonts w:ascii="Times New Roman;serif" w:hAnsi="Times New Roman;serif"/>
          <w:b/>
          <w:color w:val="000000"/>
          <w:sz w:val="20"/>
        </w:rPr>
      </w:pPr>
      <w:r>
        <w:rPr>
          <w:rFonts w:ascii="Times New Roman;serif" w:hAnsi="Times New Roman;serif"/>
          <w:b/>
          <w:color w:val="000000"/>
          <w:sz w:val="20"/>
        </w:rPr>
        <w:t>8. Reinsurance (continued)</w:t>
      </w:r>
    </w:p>
    <w:p>
      <w:pPr>
        <w:pStyle w:val="TextBody"/>
        <w:bidi w:val="0"/>
        <w:spacing w:lineRule="auto" w:line="240" w:before="60" w:after="120"/>
        <w:ind w:left="0" w:right="0" w:firstLine="270"/>
        <w:jc w:val="both"/>
        <w:rPr/>
      </w:pPr>
      <w:r>
        <w:rPr>
          <w:rFonts w:ascii="Times New Roman;serif" w:hAnsi="Times New Roman;serif"/>
          <w:b w:val="false"/>
          <w:color w:val="000000"/>
          <w:sz w:val="20"/>
        </w:rPr>
        <w:t xml:space="preserve">Cavello provided collateral in the form of a letter of credit in the amount of $445,000 to AmTrust under the LPT/ADC Agreement. Cavello is subject to additional collateral funding requirements as explained in </w:t>
      </w:r>
      <w:r>
        <w:rPr>
          <w:rFonts w:ascii="Times New Roman;serif" w:hAnsi="Times New Roman;serif"/>
          <w:b w:val="false"/>
          <w:i/>
          <w:color w:val="000000"/>
          <w:sz w:val="20"/>
        </w:rPr>
        <w:t xml:space="preserve">Note 10. Related Party Transactions. </w:t>
      </w:r>
      <w:r>
        <w:rPr>
          <w:rFonts w:ascii="Times New Roman;serif" w:hAnsi="Times New Roman;serif"/>
          <w:b w:val="false"/>
          <w:color w:val="000000"/>
          <w:sz w:val="20"/>
        </w:rPr>
        <w:t>As of March 31, 2026, the amount of collateral required was $362,501 (December 31, 2025: $362,501). Under the terms of the LPT/ADC Agreement, covered losses associated with the Commutation and Release Agreement with AmTrust are eligible to be covered but recoverable only when such losses are paid or settled by AII or its affiliates, provided such losses and other related amounts shall not exceed $312,786. Cavello's parent company, Enstar Group Limited, has credit ratings of BBB+ from both Standard &amp; Poor's and Fitch Ratings at March 31, 2026. On February 13, 2026, S&amp;P Global Ratings affirmed the BBB+ issuer credit rating on Enstar, and affirmed the A issuer credit and financial strength ratings on its operating subsidiary, Cavello.</w:t>
      </w:r>
    </w:p>
    <w:p>
      <w:pPr>
        <w:pStyle w:val="TextBody"/>
        <w:bidi w:val="0"/>
        <w:spacing w:lineRule="auto" w:line="240" w:before="60" w:after="6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July 18, 2025, the Company received correspondence from Cavello disputing the dates of loss assigned by Maiden Reinsurance’s cedant in the underlying reinsurance contract to a significant number of claims regarding certain coverage. In that correspondence, Cavello asserts that $46,700 in identified claims and approximately $25,000 in potential additional claims would fall outside the applicable coverage and reserves all of its rights under the applicable agreements if these matters are not resolved. This correspondence and the asserted amounts resulted from an audit requested by Cavello in December 2024 pursuant to its rights under the LPT/ADC Agreement. The Company is continuing to discuss and exchange information with Cavello on these matters and believes the terms of the LPT/ADC Agreement support both the Company’s position on the dates of loss and the current reinsurance recoverable Maiden Reinsurance has recognized for these claims. At this time, the Company cannot predict the outcome of these issues.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200" w:after="120"/>
        <w:jc w:val="left"/>
        <w:rPr>
          <w:rFonts w:ascii="Times New Roman;serif" w:hAnsi="Times New Roman;serif"/>
          <w:b/>
          <w:color w:val="000000"/>
          <w:sz w:val="20"/>
        </w:rPr>
      </w:pPr>
      <w:r>
        <w:rPr>
          <w:rFonts w:ascii="Times New Roman;serif" w:hAnsi="Times New Roman;serif"/>
          <w:b/>
          <w:color w:val="000000"/>
          <w:sz w:val="20"/>
        </w:rPr>
        <w:t xml:space="preserve">9. Reserve for Loss and Loss Adjustment Expenses </w:t>
      </w:r>
    </w:p>
    <w:p>
      <w:pPr>
        <w:pStyle w:val="TextBody"/>
        <w:bidi w:val="0"/>
        <w:spacing w:lineRule="auto" w:line="240" w:before="0" w:after="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both historical experience and industry-wide loss development factors to provide a reasonable basis for estimating future losses. In the future, certain events may be beyond the control of management, such as changes in law, judicial interpretations of law, and rates of inflation, which may favorably or unfavorably impact the ultimate settlement of the Company’s loss and LAE reserves. </w:t>
      </w:r>
    </w:p>
    <w:p>
      <w:pPr>
        <w:pStyle w:val="TextBody"/>
        <w:bidi w:val="0"/>
        <w:spacing w:lineRule="auto" w:line="240" w:before="0" w:after="80"/>
        <w:jc w:val="both"/>
        <w:rPr>
          <w:rFonts w:ascii="Times New Roman;serif" w:hAnsi="Times New Roman;serif"/>
          <w:b w:val="false"/>
          <w:color w:val="000000"/>
          <w:sz w:val="20"/>
        </w:rPr>
      </w:pPr>
      <w:r>
        <w:rPr>
          <w:rFonts w:ascii="Times New Roman;serif" w:hAnsi="Times New Roman;serif"/>
          <w:b w:val="false"/>
          <w:color w:val="000000"/>
          <w:sz w:val="20"/>
        </w:rPr>
        <w:t xml:space="preserve">The anticipated effect of inflation is implicitly considered when estimating liabilities for loss and LAE. While anticipated changes in claim costs due to inflation are considered in estimating the ultimate claim costs, changes in the average severity of claims are caused by a number of factors that vary with the individual type of policy written. Ultimate losses are projected based on historical trends adjusted for implemented changes in underwriting standards, claims handling, policy provisions, and general economic trends. Those anticipated trends are monitored based on actual development and are modified if necessary.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reserving process begins with the collection and analysis of paid losses and incurred claims data for each of the Company's contracts. While reserves are mostly reviewed on a contract by contract basis, paid loss and incurred claims data is also aggregated into reserving segments. The segmental data is disaggregated by reserving class and further disaggregated by either accident year (i.e. the year in which the loss event occurred) or by underwriting year (i.e. the inception year in which the contract generating the premium and losses incepted). In cases where the Company uses underwriting year information, reserves are subsequently allocated to the respective accident year. The reserve for loss and LAE consists of: </w:t>
      </w:r>
    </w:p>
    <w:tbl>
      <w:tblPr>
        <w:tblW w:w="7867" w:type="dxa"/>
        <w:jc w:val="center"/>
        <w:tblInd w:w="0" w:type="dxa"/>
        <w:tblLayout w:type="fixed"/>
        <w:tblCellMar>
          <w:top w:w="28" w:type="dxa"/>
          <w:left w:w="28" w:type="dxa"/>
          <w:bottom w:w="28" w:type="dxa"/>
          <w:right w:w="28" w:type="dxa"/>
        </w:tblCellMar>
      </w:tblPr>
      <w:tblGrid>
        <w:gridCol w:w="1594"/>
        <w:gridCol w:w="1401"/>
        <w:gridCol w:w="1415"/>
        <w:gridCol w:w="109"/>
        <w:gridCol w:w="109"/>
        <w:gridCol w:w="109"/>
        <w:gridCol w:w="232"/>
        <w:gridCol w:w="908"/>
        <w:gridCol w:w="119"/>
        <w:gridCol w:w="109"/>
        <w:gridCol w:w="109"/>
        <w:gridCol w:w="109"/>
        <w:gridCol w:w="273"/>
        <w:gridCol w:w="1072"/>
        <w:gridCol w:w="199"/>
      </w:tblGrid>
      <w:tr>
        <w:trPr/>
        <w:tc>
          <w:tcPr>
            <w:tcW w:w="1594"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41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Reserve for reported loss and LAE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279,203 </w:t>
            </w:r>
          </w:p>
        </w:tc>
        <w:tc>
          <w:tcPr>
            <w:tcW w:w="11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312,567 </w:t>
            </w:r>
          </w:p>
        </w:tc>
        <w:tc>
          <w:tcPr>
            <w:tcW w:w="19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Reserve for losses incurred but not reported ("IBNR")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314,147 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324,602 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Reserve for loss and LAE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593,350 </w:t>
            </w:r>
          </w:p>
        </w:tc>
        <w:tc>
          <w:tcPr>
            <w:tcW w:w="11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637,169 </w:t>
            </w:r>
          </w:p>
        </w:tc>
        <w:tc>
          <w:tcPr>
            <w:tcW w:w="19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represents a reconciliation of our beginning and ending gross and net loss and LAE reserves: </w:t>
      </w:r>
    </w:p>
    <w:tbl>
      <w:tblPr>
        <w:tblW w:w="6506" w:type="dxa"/>
        <w:jc w:val="left"/>
        <w:tblInd w:w="0" w:type="dxa"/>
        <w:tblLayout w:type="fixed"/>
        <w:tblCellMar>
          <w:top w:w="28" w:type="dxa"/>
          <w:left w:w="28" w:type="dxa"/>
          <w:bottom w:w="28" w:type="dxa"/>
          <w:right w:w="28" w:type="dxa"/>
        </w:tblCellMar>
      </w:tblPr>
      <w:tblGrid>
        <w:gridCol w:w="1725"/>
        <w:gridCol w:w="1515"/>
        <w:gridCol w:w="1530"/>
        <w:gridCol w:w="109"/>
        <w:gridCol w:w="109"/>
        <w:gridCol w:w="109"/>
        <w:gridCol w:w="211"/>
        <w:gridCol w:w="826"/>
        <w:gridCol w:w="109"/>
        <w:gridCol w:w="109"/>
        <w:gridCol w:w="154"/>
      </w:tblGrid>
      <w:tr>
        <w:trPr/>
        <w:tc>
          <w:tcPr>
            <w:tcW w:w="1725"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Gross loss and LAE reserves, January 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637,169 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Less: reinsurance recoverable on unpaid losses, January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loss and LAE reserves, January 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175,972 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incurred losses related 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Current year</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paid losses related 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Current year</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(16,695)</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 movements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LAE reserves, March 31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156,969 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recoverable on unpaid losses,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loss and LAE reserves, March 31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593,350 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jc w:val="both"/>
        <w:rPr/>
      </w:pPr>
      <w:r>
        <w:rPr>
          <w:rFonts w:ascii="Times New Roman;serif" w:hAnsi="Times New Roman;serif"/>
          <w:b/>
          <w:i/>
          <w:color w:val="010202"/>
          <w:sz w:val="20"/>
          <w:u w:val="single"/>
        </w:rPr>
        <w:t>Actuarial Methods Used to Estimate Loss and LAE Reserves</w:t>
      </w:r>
      <w:r>
        <w:rPr>
          <w:color w:val="010202"/>
        </w:rPr>
        <w:t xml:space="preserve">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utilizes a variety of standard actuarial methods in its analysis of loss reserves. The selections from these various methods are based on the loss development characteristics of the specific line of business and significant actuarial judgment. The actuarial methods utilized include:</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Expected Loss Ratio ("ELR") method is a technique that is multiplicative and applies an expected loss ratio to premium earned to yield the estimated ultimate losses. The ELR assumption is generally derived from pricing information and historical experience of the business. This method is frequently used for the purpose of stability in the early valuations of an underwriting year with large and uncertain loss development factors. The ELR technique does not take into account actual loss emergence for the underwriting year being projected. As an underwriting year matures and actual loss experience becomes more credible, other methods may be applied in determining the estimated ultimate losses.</w:t>
      </w:r>
    </w:p>
    <w:p>
      <w:pPr>
        <w:pStyle w:val="TextBody"/>
        <w:bidi w:val="0"/>
        <w:spacing w:before="0" w:after="120"/>
        <w:ind w:left="0" w:right="0" w:firstLine="270"/>
        <w:jc w:val="both"/>
        <w:rPr/>
      </w:pPr>
      <w:r>
        <w:rPr/>
      </w:r>
    </w:p>
    <w:p>
      <w:pPr>
        <w:pStyle w:val="TextBody"/>
        <w:bidi w:val="0"/>
        <w:spacing w:before="0" w:after="12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200" w:after="120"/>
        <w:jc w:val="left"/>
        <w:rPr>
          <w:rFonts w:ascii="Times New Roman;serif" w:hAnsi="Times New Roman;serif"/>
          <w:b/>
          <w:color w:val="000000"/>
          <w:sz w:val="20"/>
        </w:rPr>
      </w:pPr>
      <w:r>
        <w:rPr>
          <w:rFonts w:ascii="Times New Roman;serif" w:hAnsi="Times New Roman;serif"/>
          <w:b/>
          <w:color w:val="000000"/>
          <w:sz w:val="20"/>
        </w:rPr>
        <w:t>9. Reserve for Loss and Loss Adjustment Expenses (continued)</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Loss Development ("LD") method is a reserving method in which ultimate losses are estimated by applying a loss development factor to actual reported (or paid) loss experience. This method fully utilizes actual experience. Multiplication of underwriting year actual reported (or paid) losses by its respective development factor produces the estimated ultimate losses. The LD method is based upon the assumption that the relative change in a given underwriting year’s losses from one evaluation point to the next is similar to the relative change in prior underwriting years’ losses at similar evaluation points. In addition, this method is based on the assumption that the reserving and payment patterns as well as the claim handling procedures have not changed substantially over time. In the case where changes to the payment patterns or the claim handling procedures are identified, historical losses are adjusted to the current basis, and development factors are selected based on the relative change of the adjusted losses (the Berquist Sherman method is one example of this approach). When a company has a sufficiently reliable loss development history, a development pattern based on the company’s historical indications may be used to develop losses to ultimate values.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Bornhuetter-Ferguson ("BF") reserving technique is used for long-tailed or lower frequency, more volatile lines. It is also useful in situations where the reported loss experience is relatively immature and/or lacks sufficient credibility for the application of methods that are more heavily reliant on emerged experience. The BF method is an additive IBNR method that combines the ELR and LD techniques by splitting the expected loss into two pieces - expected reported (or paid) losses and expected unreported (or unpaid) losses. Expected unreported (unpaid) losses, estimated by the use of loss development factors, are added to the current actual reported (or paid) losses to produce an estimate of ultimate losses by underwriting year. The BF method introduces an element of stability that moderates the impact of inconsistent changes in paid and reported losses.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average frequency and severity ("FS") reserving technique is used for lines where claim count is available, and the estimate of loss development factors is more difficult due to volatility in historical data. The available data for such lines is usually more volatile in the estimation of future losses using the LD and BF reserving methods. The FS method uses historical data to estimate the average number of ultimate claims (frequency) and the average costs of closed claims (severity). The estimate of ultimate losses by underwriting year is the result of the multiplication of the ultimate number of claims and the average cost of a claim.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With the guidance of the methods above, actuarial judgment is applied in the determination of ultimate losses. In general, the Company’s lines of business have varying levels of seasoning with which the Company has direct experience and as a result, differing methods are utilized to estimate loss and LAE reserves in each line of business.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the Diversified Reinsurance legacy business, the Company utilizes the ELR approach at the onset of reserving an account, the BF method for business with less but maturing loss experience, and as the experience matures the LD method. For proportional or pro-rata business, the Company typically relies heavily on the actual historical contract experience to estimate reserving parameters such as loss development factors, whereas for excess of loss business there will be more usage of industry and/or Company benchmark assumptions.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Maiden Reinsurance underwrote the AmTrust Reinsurance legacy business from July 1, 2007 until January 30, 2019, when Maiden Reinsurance and AII agreed to terminate the remaining business subject to the AmTrust Quota Share on a run-off basis effective as of January 1, 2019, and Maiden Reinsurance, AEL and AIU DAC agreed to terminate the European Hospital Liability Quota Share on a run-off basis effective as of January 1, 2019. A large proportion of the exposure in the underlying book of business has significant seasoning, and allows for a significant amount of credibility in using parameters derived from historical experience to calculate reserve estimates. Some segments of the book are a result of recent acquisitions or newer markets for AmTrust. These segments require a greater level of assumptions and professional judgment in deriving ultimate losses, which inherently implies a wider range of reasonable estimates. As a result, the Company has tended to rely on a weighted approach which primarily employs the LD method for aspects of the segment with ample historical data, while also considering the ELR or the BF method for exposures with more limited or volatile historical data. The FS method is also considered for segments of the AmTrust Legacy Reinsurance book of business for which claim count information is available. Additional data detailing items such as class of business, state, claim counts, frequency and severity is available, further enhancing the reserve analysis. </w:t>
      </w:r>
    </w:p>
    <w:p>
      <w:pPr>
        <w:pStyle w:val="TextBody"/>
        <w:bidi w:val="0"/>
        <w:spacing w:lineRule="auto" w:line="240" w:before="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Prior period loss development ("PPD") arises from changes to loss estimates recognized in the current year that relate to loss reserves established in previous calendar years. The favorable or unfavorable PPD reflects changes in management's best estimate of ultimate losses under the relevant reinsurance policies after considerable review of changes in actuarial assessments. The following table summarizes total PPD for our Legacy Reinsurance segment for the three months ended March 31, 2026:</w:t>
      </w:r>
    </w:p>
    <w:tbl>
      <w:tblPr>
        <w:tblW w:w="5726" w:type="dxa"/>
        <w:jc w:val="center"/>
        <w:tblInd w:w="0" w:type="dxa"/>
        <w:tblLayout w:type="fixed"/>
        <w:tblCellMar>
          <w:top w:w="28" w:type="dxa"/>
          <w:left w:w="28" w:type="dxa"/>
          <w:bottom w:w="28" w:type="dxa"/>
          <w:right w:w="28" w:type="dxa"/>
        </w:tblCellMar>
      </w:tblPr>
      <w:tblGrid>
        <w:gridCol w:w="1389"/>
        <w:gridCol w:w="1219"/>
        <w:gridCol w:w="1231"/>
        <w:gridCol w:w="109"/>
        <w:gridCol w:w="109"/>
        <w:gridCol w:w="109"/>
        <w:gridCol w:w="211"/>
        <w:gridCol w:w="541"/>
        <w:gridCol w:w="109"/>
        <w:gridCol w:w="109"/>
        <w:gridCol w:w="109"/>
        <w:gridCol w:w="109"/>
        <w:gridCol w:w="109"/>
        <w:gridCol w:w="109"/>
        <w:gridCol w:w="154"/>
      </w:tblGrid>
      <w:tr>
        <w:trPr/>
        <w:tc>
          <w:tcPr>
            <w:tcW w:w="1389"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Prior Year Loss Development (favorable) adverse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Diversified Reinsurance legacy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83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AmTrust Reinsurance legacy business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PPD for Legacy Reinsurance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00" w:after="120"/>
        <w:jc w:val="both"/>
        <w:rPr>
          <w:rFonts w:ascii="Times New Roman;serif" w:hAnsi="Times New Roman;serif"/>
          <w:b/>
          <w:i/>
          <w:color w:val="000000"/>
          <w:sz w:val="20"/>
        </w:rPr>
      </w:pPr>
      <w:r>
        <w:rPr>
          <w:rFonts w:ascii="Times New Roman;serif" w:hAnsi="Times New Roman;serif"/>
          <w:b/>
          <w:i/>
          <w:color w:val="000000"/>
          <w:sz w:val="20"/>
        </w:rPr>
        <w:t>Legacy Reinsurance Segment: Diversified Business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the Diversified Reinsurance legacy operations, favorable PPD was $274 for the three months ended March 31, 2026 primarily driven by favorable development in international run-off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200" w:after="120"/>
        <w:jc w:val="left"/>
        <w:rPr>
          <w:rFonts w:ascii="Times New Roman;serif" w:hAnsi="Times New Roman;serif"/>
          <w:b/>
          <w:color w:val="000000"/>
          <w:sz w:val="20"/>
        </w:rPr>
      </w:pPr>
      <w:r>
        <w:rPr>
          <w:rFonts w:ascii="Times New Roman;serif" w:hAnsi="Times New Roman;serif"/>
          <w:b/>
          <w:color w:val="000000"/>
          <w:sz w:val="20"/>
        </w:rPr>
        <w:t>9. Reserve for Loss and Loss Adjustment Expenses (continued)</w:t>
      </w:r>
    </w:p>
    <w:p>
      <w:pPr>
        <w:pStyle w:val="TextBody"/>
        <w:bidi w:val="0"/>
        <w:spacing w:lineRule="auto" w:line="240" w:before="60" w:after="120"/>
        <w:jc w:val="both"/>
        <w:rPr>
          <w:rFonts w:ascii="Times New Roman;serif" w:hAnsi="Times New Roman;serif"/>
          <w:b/>
          <w:i/>
          <w:color w:val="000000"/>
          <w:sz w:val="20"/>
        </w:rPr>
      </w:pPr>
      <w:r>
        <w:rPr>
          <w:rFonts w:ascii="Times New Roman;serif" w:hAnsi="Times New Roman;serif"/>
          <w:b/>
          <w:i/>
          <w:color w:val="000000"/>
          <w:sz w:val="20"/>
        </w:rPr>
        <w:t>Legacy Reinsurance Segment: AmTrust Business</w:t>
      </w:r>
    </w:p>
    <w:p>
      <w:pPr>
        <w:pStyle w:val="TextBody"/>
        <w:bidi w:val="0"/>
        <w:spacing w:lineRule="auto" w:line="244"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shows PPD for the AmTrust Reinsurance legacy operations for the three months ended March 31, 2026: </w:t>
      </w:r>
    </w:p>
    <w:tbl>
      <w:tblPr>
        <w:tblW w:w="5547" w:type="dxa"/>
        <w:jc w:val="center"/>
        <w:tblInd w:w="0" w:type="dxa"/>
        <w:tblLayout w:type="fixed"/>
        <w:tblCellMar>
          <w:top w:w="28" w:type="dxa"/>
          <w:left w:w="28" w:type="dxa"/>
          <w:bottom w:w="28" w:type="dxa"/>
          <w:right w:w="28" w:type="dxa"/>
        </w:tblCellMar>
      </w:tblPr>
      <w:tblGrid>
        <w:gridCol w:w="1351"/>
        <w:gridCol w:w="1186"/>
        <w:gridCol w:w="1198"/>
        <w:gridCol w:w="109"/>
        <w:gridCol w:w="109"/>
        <w:gridCol w:w="109"/>
        <w:gridCol w:w="211"/>
        <w:gridCol w:w="466"/>
        <w:gridCol w:w="109"/>
        <w:gridCol w:w="109"/>
        <w:gridCol w:w="109"/>
        <w:gridCol w:w="109"/>
        <w:gridCol w:w="109"/>
        <w:gridCol w:w="109"/>
        <w:gridCol w:w="154"/>
      </w:tblGrid>
      <w:tr>
        <w:trPr/>
        <w:tc>
          <w:tcPr>
            <w:tcW w:w="135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Prior Year Loss Development (favorable) adverse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AmTrust Quota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73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LPT/ADC Agreement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Hospital Liability Quota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73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AmTrust Reinsurance PPD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the AmTrust Legacy Reinsurance operations, adverse PPD was $551 for the three months ended March 31, 2026. Total PPD was due to adjustment for greater than expected amount of earned exposure in 2025 that was reported in the three months ended March 31, 2026 on Specialty Risk and Extended Warranty business in the AmTrust Quota Share, and a modest reduction in recoveries anticipated under the LPT/ADC Agreement.</w:t>
      </w:r>
    </w:p>
    <w:p>
      <w:pPr>
        <w:pStyle w:val="TextBody"/>
        <w:bidi w:val="0"/>
        <w:spacing w:before="0" w:after="0"/>
        <w:jc w:val="left"/>
        <w:rPr/>
      </w:pPr>
      <w:r>
        <w:rPr/>
      </w:r>
    </w:p>
    <w:p>
      <w:pPr>
        <w:pStyle w:val="TextBody"/>
        <w:bidi w:val="0"/>
        <w:spacing w:before="6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120" w:after="120"/>
        <w:jc w:val="left"/>
        <w:rPr>
          <w:rFonts w:ascii="Times New Roman;serif" w:hAnsi="Times New Roman;serif"/>
          <w:b/>
          <w:color w:val="000000"/>
          <w:sz w:val="20"/>
        </w:rPr>
      </w:pPr>
      <w:r>
        <w:rPr>
          <w:rFonts w:ascii="Times New Roman;serif" w:hAnsi="Times New Roman;serif"/>
          <w:b/>
          <w:color w:val="000000"/>
          <w:sz w:val="20"/>
        </w:rPr>
        <w:t xml:space="preserve">10. Related Party Transactions </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Kestrel Intermediate Ledbetter Holdings, LLC ("KILH") was the controlling shareholder of Kestrel. In addition, Terry Ledbetter, the Company's Executive Chairman of the Board of Directors and Luke Ledbetter, the Company's Chief Executive Officer were the founding shareholders of KILH.</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Founding Shareholders of Maiden were Michael Karfunkel, George Karfunkel and Barry Zyskind. Leah Karfunkel (wife of the late Michael Karfunkel) and George Karfunkel are directors of AmTrust, and Barry Zyskind is the chief executive officer and chairman of AmTrust. Leah Karfunkel, George Karfunkel and Barry Zyskind own or control approximately 55.2% of the ownership interests of Evergreen Parent, L.P., the ultimate parent of AmTrust. </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describes transactions that have transpired between and among the Company (including Maiden), KILH and AmTrust.</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KILH and AmTrust were Kestrel Equityholders, and received Common Shares at closing of the Combination in proportion to its equity interest in Kestrel prior to the closing. Barry Zyskind, George Karfunkel and Leah Karfunkel were individually shareholders of Maiden prior to closing of the Combination, and received common shares at the closing of the Combination in proportion to their respective equity interests in Maiden prior to the closing.</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Kestrel equityholders at the closing date of the Combination received 2,749,996 common shares of the combined company. The proportionate interest in these shares include 1,811,764 Common Shares issued to KILH for the benefit of Terry Ledbetter and Luke Ledbetter, constituting 18.0% of the Company's issued Common Shares at March 31, 2026, and 776,040 Common Shares issued to AmTrust, constituting 7.7% of the Company's issued Common Shares at March 31, 2026. </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Barry Zyskind is the beneficial owner of 318,714 Common Shares, constituting 4.1% of the Common Shares outstanding. George Karfunkel is the beneficial owner of 80,000 Common Shares, constituting 1.0% of the Common Shares outstanding. Leah Karfunkel is the beneficial owner of 339,630 Common Shares, constituting 4.3% of the Common Shares outstanding. </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By reason of his position as the chairman and chief executive officer of AmTrust and his equity interest in AmTrust, Barry Zyskind may be deemed to beneficially own the Common Shares owned by AmTrust. By reason of their membership on the board of directors of AmTrust and their equity interests in AmTrust, each of George Karfunkel and Leah Karfunkel may be also be deemed to beneficially own the Common Shares owned by AmTrust. Therefore, including the 776,040 Common Shares of owned by AmTrust, Barry Zyskind beneficially owns 1,094,754 Common Shares, constituting 14.0% of the Common Shares outstanding; George Karfunkel beneficially owns 856,040 Common Shares, constituting 10.9% of the Common Shares outstanding; and Leah Karfunkel beneficially owns 1,115,670 Common Shares, constituting 14.3% of the Common Shares outstanding. Each of Barry Zyskind, George Karfunkel and Leah Karfunkel disclaim beneficial ownership of the Common Shares owned by AmTrust to the extent permitted by law.</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As discussed above, AmTrust holds approximately 7.7% of the issued and outstanding Kestrel Group common shares and has the right to nominate (a) one non-independent director to the Kestrel Group Ltd board of directors for so long as AmTrust and its affiliates own at least 25% of the shares of Kestrel Group issued to them at the closing of the Combination, and (b) two independent directors to the Kestrel Group board of directors for so long as AmTrust and its affiliates own at least 5% of the shares of Kestrel Group and at least 25% of the shares of Kestrel Group issued to them at the closing of the Combination. Kestrel Group writes its business on a fronting basis initially through the AmTrust Insurance Companies, and will cede up to 100% of underwriting risk in exchange for a ceding fee based on gross premiums written. In addition, AmTrust provides additional services in relation to the AmTrust Insurance Companies pursuant to a management agreement with Kestrel Insurance Agency, including compliance, data reporting, data flow and information technology systems. As a result, Kestrel Group relies on its strategic partnership with AmTrust as a related party.</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At March 31, 2026, the shares previously owned by KILH are now held indirectly by Terry Ledbetter and Luke Ledbetter. Terry Lee Ledbetter beneficially owns 1,038,921 common shares (133,039 common shares held directly and 905,882 common shares held indirectly by Terry Lee Ledbetter together with Reta Laurie Ledbetter, through his or her role as co-trustee of Terry Lee Ledbetter and Reta Laurie Ledbetter 2000 Revocable Trust). Luke Ledbetter beneficially owns 1,038,921 common shares (133,039 common shares held directly and 905,882 common shares held indirectly through his role as trustee of each of the Bradford Luke Ledbetter 2006 Grantor Trust No. 2 and the Shari Ann Ledbetter Irrevocable 2019 Trust). Together, these trusts hold approximately 20.6% of total issued Kestrel Group common shares and through KILH hold the right to nominate (a) two non-independent directors to the Kestrel Group board of directors for so long as KILH and its affiliates own at least 25% of the shares of Kestrel Group issued to them at the closing of the Combination, and (b) two independent directors to the Kestrel Group board of directors for so long as KILH and its affiliates own at least 5% of the shares of Kestrel Group and at least 25% of the shares of Kestrel Group issued to them at the closing of the Combination. </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Management Agreement with AmTrust</w:t>
      </w:r>
    </w:p>
    <w:p>
      <w:pPr>
        <w:pStyle w:val="TextBody"/>
        <w:bidi w:val="0"/>
        <w:spacing w:lineRule="auto" w:line="244"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the July 26, 2022 Unit Purchase Agreement, AmTrust North America Inc. acquired a 30% minority interest in Kestrel LLC with the option for Kestrel LLC to purchase certain insurance carriers owned by AmTrust North America Inc. Kestrel LLC also receives professional and administrative services through an expense reimbursement arrangement under the management agreement referenced below with AmTrust North America Inc. The Company incurred costs related to this agreement of $137 during the three months ended March 31, 2026 compared to $148 for the same respective period in 2025. These amounts are presented in general and administrative expenses in the condensed consolidated statement of operations and include professional services such as statutory financial reporting, IT processing, legal contracting, and insurance company compliance functions.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10. Related Party Transactions (continued)</w:t>
      </w:r>
    </w:p>
    <w:p>
      <w:pPr>
        <w:pStyle w:val="TextBody"/>
        <w:bidi w:val="0"/>
        <w:spacing w:lineRule="auto" w:line="244"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Kestrel LLC also has an exclusive management contract with AmTrust North America Inc. to produce business through its use of A.M. Best A- FSC XV insurance carriers, including Sierra Specialty Insurance Company, Rochdale Insurance Company, Park National Insurance Company, and Republic Fire and Casualty Insurance Company, all subsidiaries of AmTrust. In connection with the Combination, Kestrel has the option to acquire these insurers from AmTrust for a period of up to three years after the closing date. All fee revenue earned during the three months ended March 31, 2026 and 2025 were based on the net premiums associated with this agreement.</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Board of Directors of the Company</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Following completion of the Combination, the board of directors of Kestrel Group consists of seven directors, made up of four directors selected by KILH, two of whom are independent under applicable securities laws and stock exchange rules, and three directors selected by AmTrust, two of whom are independent under applicable securities laws and stock exchange rules.</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describes the legacy reinsurance transactions that have transpired between Maiden and AmTrust:</w:t>
      </w:r>
    </w:p>
    <w:p>
      <w:pPr>
        <w:pStyle w:val="TextBody"/>
        <w:bidi w:val="0"/>
        <w:spacing w:lineRule="auto" w:line="240" w:before="0" w:after="120"/>
        <w:jc w:val="left"/>
        <w:rPr>
          <w:rFonts w:ascii="Times New Roman;serif" w:hAnsi="Times New Roman;serif"/>
          <w:b/>
          <w:i/>
          <w:color w:val="000000"/>
          <w:sz w:val="20"/>
        </w:rPr>
      </w:pPr>
      <w:r>
        <w:rPr>
          <w:rFonts w:ascii="Times New Roman;serif" w:hAnsi="Times New Roman;serif"/>
          <w:b/>
          <w:i/>
          <w:color w:val="000000"/>
          <w:sz w:val="20"/>
        </w:rPr>
        <w:t xml:space="preserve">AmTrust Quota Share </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Effective July 1, 2007, Maiden and AmTrust entered into a master agreement, as amended ("Master Agreement"), by which they caused Maiden Reinsurance and AII to enter into the AmTrust Quota Share by which AII retroceded to Maiden Reinsurance an amount equal to 40% of the premium written by subsidiaries of AmTrust, net of the cost of unaffiliated inuring reinsurance and 40% of losses. The Master Agreement further provided that AII receive a ceding commission of 31% of ceded written premiums.</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On June 11, 2008, Maiden Reinsurance and AII amended the AmTrust Quota Share to add Retail Commercial Package Business to the Covered Business (as defined in the AmTrust Quota Share). AII receives a ceding commission of 34.375% on Retail Commercial Package Business. On July 1, 2016, the agreement was renewed through June 30, 2019. Effective July 1, 2018, the amount AEL ceded to Maiden Reinsurance was reduced to 20%.</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Effective July 1, 2013, for the Specialty Program portion of Covered Business only, AII was responsible for ultimate net loss otherwise recoverable from Maiden Reinsurance to the extent that the loss ratio to Maiden Reinsurance, which shall be determined on an inception to date basis from July 1, 2007 through the date of calculation, is between 81.5% and 95% ("Loss Corridor"). Above and below the Loss Corridor, Maiden Reinsurance continued to reinsure losses at its proportional 40% share of the AmTrust Quota Share. Effective July 31, 2019, the Loss Corridor was amended such that the maximum amount covered is $40,500, the amount calculated by Maiden Reinsurance for the Loss Corridor coverage as of March 31, 2019. Any development above this maximum amount will be subject to the coverage of the LPT/ADC Agreement.</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Effective January 1, 2019, Maiden Reinsurance and AII entered into a partial termination amendment ("Partial Termination Amendment") which amended the AmTrust Quota Share. The Partial Termination Amendment provided for the cut-off of the ongoing and unearned premium of AmTrust’s Small Commercial Business and U.S. Specialty Risk and Extended Warranty ("Terminated Business") as of December 31, 2018. Under the Partial Termination Amendment, the ceding commission payable by Maiden Reinsurance for its remaining in-force business immediately prior to January 1, 2019 increased by five percentage points with respect to in-force remaining business (excluding Terminated Business) and related unearned premium as of January 1, 2019. Subsequently, on January 30, 2019, Maiden Reinsurance and AII agreed to terminate the remaining business subject to the AmTrust Quota Share on a run-off basis effective as of January 1, 2019.</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Effective July 31, 2019, Maiden Reinsurance and AII entered into a Commutation and Release Agreement which provided for AII to assume all reserves ceded by AII to Maiden Reinsurance with respect to its proportional 40% share of the ultimate net loss under the AmTrust Quota Share related to the commuted business including: (a) all losses incurred in Accident Year 2017 and Accident Year 2018 under California workers' compensation policies and as defined in the AmTrust Quota Share ("Commuted California Business"); and (b) all losses incurred in Accident Year 2018 under New York workers' compensation policies ("Commuted New York Business"), and together with the Commuted California Business ("Commuted Business") in exchange for the release and full discharge of Maiden Reinsurance's obligations to AII with respect to the Commuted Business. The Commuted Business excludes any business classified by AII as Specialty Program or Specialty Risk business.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AII and Maiden Reinsurance also agreed that as of July 31, 2019, the AmTrust Quota Share was deemed amended as applicable so that the Commuted Business is no longer included as part of Covered Business under the AmTrust Quota Share.</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January 30, 2019, in connection with the termination of the reinsurance agreement described above, the Company and AmTrust entered into a second amendment to the Master Agreement between the parties, originally entered into on July 3, 2007, to remove the provisions requiring AmTrust to reinsure business with the Company.</w:t>
      </w:r>
    </w:p>
    <w:p>
      <w:pPr>
        <w:pStyle w:val="TextBody"/>
        <w:bidi w:val="0"/>
        <w:spacing w:lineRule="auto" w:line="240" w:before="0" w:after="120"/>
        <w:jc w:val="left"/>
        <w:rPr>
          <w:rFonts w:ascii="Times New Roman;serif" w:hAnsi="Times New Roman;serif"/>
          <w:b/>
          <w:i/>
          <w:color w:val="000000"/>
          <w:sz w:val="20"/>
        </w:rPr>
      </w:pPr>
      <w:r>
        <w:rPr>
          <w:rFonts w:ascii="Times New Roman;serif" w:hAnsi="Times New Roman;serif"/>
          <w:b/>
          <w:i/>
          <w:color w:val="000000"/>
          <w:sz w:val="20"/>
        </w:rPr>
        <w:t>European Hospital Liability Quota Share</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Effective April 1, 2011, Maiden Reinsurance entered into the European Hospital Liability Quota Share with AEL and AIU DAC. Pursuant to the terms of the European Hospital Liability Quota Share, Maiden Reinsurance assumed 40% of the premiums and losses related to policies classified as European Hospital Liability, including associated liability coverages and policies covering physician defense costs, written or renewed on or after April 1, 2011. The European Hospital Liability Quota Share also covers policies written or renewed on or before March 31, 2011, but only with respect to losses that occur, accrue or arise on or after April 1, 2011. The maximum limit of liability attaching shall be €5,000 (€10,000 effective January 1, 2012) or currency equivalent (on a 100% basis) per original claim for any one original policy. Maiden Reinsurance paid a ceding commission of 5% on contracts assumed under the European Hospital Liability Quota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10. Related Party Transactions (continued)</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Effective July 1, 2016, the European Hospital Liability Quota Share was amended such that Maiden Reinsurance assumes from AEL 32.5% of the premiums and losses of all policies written or renewed on or after July 1, 2016 until June 30, 2017 and 20% of all policies written or renewed on or after July 1, 2017. Thereafter, on January 30, 2019, Maiden Reinsurance, AEL and AIU DAC agreed to terminate the European Hospital Liability Quota Share on a run-off basis effective as of January 1, 2019.</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Effective July 1, 2022, Maiden Reinsurance and AIU DAC entered into an agreement ("Commutation Agreement") which provided for AIU DAC to assume all reserves ceded by AIU DAC to Maiden Reinsurance with respect to AIU DAC’s French Medical Malpractice exposures for underwriting years 2012 through 2018 reinsured by Maiden Reinsurance under the European Hospital Liability Quota Share. In accordance with the Commutation Agreement, Maiden Reinsurance paid $31,291 (€29,401) to AIU DAC, which is the sum of net ceded reserves of $27,625 (€25,956) and an agreed exit cost of $3,666 (€3,444). As a result of the Commutation Agreement, Maiden Reinsurance reduced its exposure to AmTrust's Hospital Liability business, but still has exposure to Italian medical malpractice liabilities under the European Hospital Liability Quota Share.</w:t>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table below shows the effect of both of these quota share arrangements with AmTrust on the Company's Condensed Consolidated Income Statements for the three months ended March 31, 2026:</w:t>
      </w:r>
    </w:p>
    <w:tbl>
      <w:tblPr>
        <w:tblW w:w="5651" w:type="dxa"/>
        <w:jc w:val="left"/>
        <w:tblInd w:w="0" w:type="dxa"/>
        <w:tblLayout w:type="fixed"/>
        <w:tblCellMar>
          <w:top w:w="28" w:type="dxa"/>
          <w:left w:w="28" w:type="dxa"/>
          <w:bottom w:w="28" w:type="dxa"/>
          <w:right w:w="28" w:type="dxa"/>
        </w:tblCellMar>
      </w:tblPr>
      <w:tblGrid>
        <w:gridCol w:w="1334"/>
        <w:gridCol w:w="1172"/>
        <w:gridCol w:w="1183"/>
        <w:gridCol w:w="109"/>
        <w:gridCol w:w="109"/>
        <w:gridCol w:w="109"/>
        <w:gridCol w:w="211"/>
        <w:gridCol w:w="616"/>
        <w:gridCol w:w="109"/>
        <w:gridCol w:w="109"/>
        <w:gridCol w:w="109"/>
        <w:gridCol w:w="109"/>
        <w:gridCol w:w="109"/>
        <w:gridCol w:w="109"/>
        <w:gridCol w:w="154"/>
      </w:tblGrid>
      <w:tr>
        <w:trPr/>
        <w:tc>
          <w:tcPr>
            <w:tcW w:w="1334"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and net premiums written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LAE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and other acquisition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jc w:val="left"/>
        <w:rPr>
          <w:rFonts w:ascii="Times New Roman;serif" w:hAnsi="Times New Roman;serif"/>
          <w:b/>
          <w:i/>
          <w:color w:val="000000"/>
          <w:sz w:val="20"/>
        </w:rPr>
      </w:pPr>
      <w:r>
        <w:rPr>
          <w:rFonts w:ascii="Times New Roman;serif" w:hAnsi="Times New Roman;serif"/>
          <w:b/>
          <w:i/>
          <w:color w:val="000000"/>
          <w:sz w:val="20"/>
        </w:rPr>
        <w:t>Collateral provided to AmTrust</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LPT/ADC Agreement, Maiden Reinsurance, Cavello and AmTrust and certain of its affiliated companies entered into a Master Collateral Agreement (“MCA”) to define and enable the operation of collateral provided under the AmTrust Quota Share. Under the MCA, Cavello provided letters of credit on behalf of Maiden Reinsurance to AmTrust in an amount representing Cavello’s obligations under the LPT/ADC Agreement. Because these letters of credit replaced other collateral previously provided directly by Maiden Reinsurance to AmTrust, the MCA coordinates the collateral protection that will be provided to AmTrust to ensure that no gaps in collateral funding occur by operation of the LPT/ADC Agreement and related MCA.</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a result of entering into both the LPT/ADC Agreement and the MCA, certain post-termination endorsements (“PTEs”) to the AmTrust Quota Share between AII and Maiden Reinsurance were required. Effective July 31, 2019, the PTEs: i) enable the operation of both the LPT/ADC Agreement and MCA by making provision for certain forms of collateral, including letters of credit provided by Cavello on Maiden Reinsurance’s behalf, and further defines the permitted use and return of collateral; and ii) increase the required funding percentage for Maiden Reinsurance under the collateral arrangements between the parties to 105% of its obligations, subject to a minimum excess funding requirement of $54,000, as may be mutually amended by the parties from time to time. Under certain defined conditions, Maiden Reinsurance may be required to increase this funding percentage to 110%.</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Effective March 16, 2020, Maiden Reinsurance discontinued as a Bermuda company and completed its re-domestication to the State of Vermont. Bermuda is a Solvency II equivalent jurisdiction and the State of Vermont is not such a jurisdiction; therefore, the collateral provided under the respective agreements with AmTrust subsidiaries was strengthened to reflect the impact of the re-domestication concurrent with the date of Maiden Reinsurance’s re-domestication to Vermont. Maiden Reinsurance and AmTrust agreed to: 1) amend the AmTrust Quota Share pursuant to Post Termination Endorsement No. 2 effective March 16, 2020; and 2) amend the European Hospital Liability Quota Share pursuant to Post Termination Endorsement No. 1 effective March 16, 2020.</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Pursuant to the terms of Post Termination Endorsement No. 2 to the AmTrust Quota Share, Maiden Reinsurance strengthened the collateral protection provided by Maiden Reinsurance to AII by increasing the required funding percentage for Maiden Reinsurance under the collateral arrangements between the parties to 110% of its obligations, subject to a minimum excess funding requirement of $54,000, as may be mutually amended by the parties from time to time. Post Termination Endorsement No. 2 also sets forth conditions by which the funding percentage will be reduced and the sequence of how collateral will be utilized as obligations, as defined under the AmTrust Quota Share, are satisfied. Pursuant to the terms of Post Termination Endorsement No. 2, the funding percentage was reduced to 107.5% during the first quarter of 2023.</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Pursuant to the terms of Post Termination Endorsement No. 3 to the AmTrust Quota Share, AmTrust has agreed to eliminate the minimum excess funding requirement of $54,000 in the AmTrust Quota Share between All and Maiden. Collateral on the AmTrust Quota Share is tied to a contractually agreed percentage and was reduced from a level of 107.5% to 105% during the third quarter of 2025 when its obligations declined below the $500,000 threshold. The terms of Post Termination Endorsement No. 3 was effective upon the execution and delivery of the AR Loan Agreement and the Premium Repayment Loan Agreement approved by the Vermont DFR on February 7, 2025.</w:t>
      </w:r>
    </w:p>
    <w:p>
      <w:pPr>
        <w:pStyle w:val="TextBody"/>
        <w:bidi w:val="0"/>
        <w:spacing w:before="0" w:after="12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10. Related Party Transactions (continued)</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Pursuant to the terms of Post Termination Endorsement No. 1 to the European Hospital Liability Quota Share, Maiden Reinsurance strengthened the collateral protection provided by Maiden Reinsurance to AEL and AIU DAC by increasing the required funding percentage for Maiden Reinsurance under the collateral arrangements between the parties to the greater of 120% of the Exposure (as defined therein) and the amount of security required to offset the increase in the Solvency Capital Requirement (“SCR”) that results from the changes in the SCR which arise out of Maiden Reinsurance's re-domestication as compared to the SCR calculation if Maiden Reinsurance had remained domesticated in a Solvency II equivalent jurisdiction with a solvency ratio above 100% and provided collateral equivalent to 100% of the Exposure.</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Pursuant to the terms of Post Termination Endorsement No. 2 to the European Hospital Liability Quota Share, AmTrust has also agreed to reduce the collateral funding percentage on the European Hospital Liability Quota Share from 120% to 105%, on the effective date of this endorsement, which was approved by the Vermont DFR on February 19, 2025.</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December 31, 2025, Maiden Reinsurance and AmTrust entered into a Loan Agreement (the “Premium Repayment Loan Agreement”) by which Maiden Reinsurance will repay AII the principal amount of $24,259 representing settlement of a dispute over cessions of uncollectible ceded premiums written made by AII to Maiden Reinsurance, payable by Maiden Reinsurance in quarterly installments through the maturity date of December 31, 2032. This settlement is netted against the loan receivable from related party on the Condensed Consolidated Balance Sheets at March 31, 2026. AmTrust may offset any amount payable against any amount due and unpaid by Maiden Reinsurance, under any agreement between AmTrust or its affiliate and Maiden Reinsurance or its affiliate, including without limitation, the European Hospital Liability Quota Share, dated April 1, 2011, as amended. Interest is payable at a rate equivalent to the Fed Funds rate plus 150 basis points per annum under the terms of the Premium Repayment Loan Agreement.</w:t>
      </w:r>
    </w:p>
    <w:p>
      <w:pPr>
        <w:pStyle w:val="TextBody"/>
        <w:bidi w:val="0"/>
        <w:spacing w:lineRule="auto" w:line="240"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a) AmTrust Quota Share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To provide AmTrust's U.S. insurance subsidiaries with credit for reinsurance on their statutory financial statements, AII, as the direct reinsurer of AmTrust's insurance subsidiaries, established trust accounts ("Trust Accounts") for their benefit. Maiden Reinsurance has provided appropriate collateral to secure its proportional share under the AmTrust Quota Share of AII's obligations to the AmTrust subsidiaries to whom AII is required to provide collateral which can include: (a) assets loaned by Maiden Reinsurance to AII for deposit into the Trust Accounts, pursuant to a loan agreement between those parties; (b) assets transferred by Maiden Reinsurance for deposit into the Trust Accounts; or (c) a letter of credit obtained by Maiden Reinsurance and delivered to an AmTrust subsidiary on AII's behalf. Maiden Reinsurance may provide any or a combination of these forms of collateral, provided that the aggregate value thereof equals Maiden Reinsurance's proportionate share of its obligations under the AmTrust Quota Share. The collateral requirements under the AmTrust Quota Share with AII are satisfied as follows:</w:t>
      </w:r>
    </w:p>
    <w:p>
      <w:pPr>
        <w:pStyle w:val="TextBody"/>
        <w:bidi w:val="0"/>
        <w:spacing w:lineRule="auto" w:line="240" w:before="0" w:after="120"/>
        <w:ind w:left="0" w:right="0" w:hanging="270"/>
        <w:jc w:val="both"/>
        <w:rPr/>
      </w:pPr>
      <w:r>
        <w:rPr>
          <w:color w:val="000000"/>
        </w:rPr>
        <w:t>•</w:t>
      </w:r>
      <w:r>
        <w:rPr>
          <w:rFonts w:ascii="Times New Roman;serif" w:hAnsi="Times New Roman;serif"/>
          <w:b w:val="false"/>
          <w:color w:val="000000"/>
          <w:sz w:val="20"/>
        </w:rPr>
        <w:t>On January 1, 2025, Maiden Reinsurance and AmTrust amended the terms of the loan agreement provided by Maiden Reinsurance to AII. Under the revised terms, an Amended and Restated Loan Agreement was entered into effective January 1, 2025 (the “AR Loan Agreement”), by which the principal amount of the collateral loan will be repaid (subject to funding of collateral requirements) on or before the revised maturity date of January 1, 2033 pursuant to a repayment schedule set forth in the AR Loan Agreement. The principal amount shall equal (a) $152,377 minus (b) the amount of payments and any prepayments made by or on behalf of AmTrust from time to time. Interest is payable at a rate equivalent to the Federal Funds Effective Rate ("Fed Funds") plus 150 basis points per annum under the terms of the AR Loan Agreement.</w:t>
      </w:r>
    </w:p>
    <w:p>
      <w:pPr>
        <w:pStyle w:val="TextBody"/>
        <w:bidi w:val="0"/>
        <w:spacing w:lineRule="auto" w:line="240" w:before="0" w:after="120"/>
        <w:ind w:left="0" w:right="0" w:hanging="270"/>
        <w:jc w:val="both"/>
        <w:rPr/>
      </w:pPr>
      <w:r>
        <w:rPr>
          <w:color w:val="000000"/>
        </w:rPr>
        <w:t>•</w:t>
      </w:r>
      <w:r>
        <w:rPr>
          <w:rFonts w:ascii="Times New Roman;serif" w:hAnsi="Times New Roman;serif"/>
          <w:b w:val="false"/>
          <w:color w:val="000000"/>
          <w:sz w:val="20"/>
        </w:rPr>
        <w:t>AmTrust may offset any amount payable against any amount due and unpaid by Maiden Reinsurance, under any agreement between AmTrust or its affiliate and Maiden Reinsurance or its affiliate, including without limitation, the AmTrust Quota Share and European Hospital Liability Quota Share dated April 1, 2011, as amended, between Maiden Reinsurance and AmTrust, any other reinsurance agreements between AmTrust or its affiliates and Maiden Reinsurance or its affiliates and the Premium Repayment Loan Agreement dated December 31, 2024 with respect to the settlement of certain ceded premium balances of $24,259 entered into between AII and Maiden Reinsurance.</w:t>
      </w:r>
    </w:p>
    <w:p>
      <w:pPr>
        <w:pStyle w:val="TextBody"/>
        <w:bidi w:val="0"/>
        <w:spacing w:lineRule="auto" w:line="240" w:before="0" w:after="120"/>
        <w:ind w:left="0" w:right="0" w:hanging="270"/>
        <w:jc w:val="both"/>
        <w:rPr/>
      </w:pPr>
      <w:r>
        <w:rPr>
          <w:color w:val="000000"/>
        </w:rPr>
        <w:t>•</w:t>
      </w:r>
      <w:r>
        <w:rPr>
          <w:rFonts w:ascii="Times New Roman;serif" w:hAnsi="Times New Roman;serif"/>
          <w:b w:val="false"/>
          <w:color w:val="000000"/>
          <w:sz w:val="20"/>
        </w:rPr>
        <w:t xml:space="preserve">The outstanding balances under the AR Loan Agreement and Premium Repayment Loan Agreement are presented on a net basis. The outstanding net loan receivable was $78,606 at March 31, 2026 (December 31, 2025: $86,883). There was no allowance for expected credit losses recognized on the loan receivable at March 31, 2026 and December 31, 2025. Net interest income on the net loan receivable was $1,137 for the three months ended March 31, 2026, with an effective yield of 5.5%. </w:t>
      </w:r>
    </w:p>
    <w:p>
      <w:pPr>
        <w:pStyle w:val="TextBody"/>
        <w:bidi w:val="0"/>
        <w:spacing w:lineRule="auto" w:line="240" w:before="0" w:after="120"/>
        <w:ind w:left="0" w:right="0" w:hanging="270"/>
        <w:jc w:val="both"/>
        <w:rPr/>
      </w:pPr>
      <w:r>
        <w:rPr>
          <w:color w:val="000000"/>
        </w:rPr>
        <w:t>•</w:t>
      </w:r>
      <w:r>
        <w:rPr>
          <w:rFonts w:ascii="Times New Roman;serif" w:hAnsi="Times New Roman;serif"/>
          <w:b w:val="false"/>
          <w:color w:val="000000"/>
          <w:sz w:val="20"/>
        </w:rPr>
        <w:t xml:space="preserve">The Company separately presents accrued interest on its net loan receivable on the Condensed Consolidated Balance Sheet under accrued investment income. The accrued interest receivable on the net loan receivable was $1,137 at March 31, 2026 (December 31, 2025: $1,310). The Company elected the practical expedient under </w:t>
      </w:r>
      <w:r>
        <w:rPr>
          <w:rFonts w:ascii="Times New Roman;serif" w:hAnsi="Times New Roman;serif"/>
          <w:b w:val="false"/>
          <w:i/>
          <w:color w:val="000000"/>
          <w:sz w:val="20"/>
        </w:rPr>
        <w:t>Topic 326</w:t>
      </w:r>
      <w:r>
        <w:rPr>
          <w:color w:val="000000"/>
        </w:rPr>
        <w:t xml:space="preserve"> </w:t>
      </w:r>
      <w:r>
        <w:rPr>
          <w:rFonts w:ascii="Times New Roman;serif" w:hAnsi="Times New Roman;serif"/>
          <w:b w:val="false"/>
          <w:color w:val="000000"/>
          <w:sz w:val="20"/>
        </w:rPr>
        <w:t>to exclude accrued interest for purposes of identifying and measuring any impairments under the allowance for expected credit losses standard.</w:t>
      </w:r>
    </w:p>
    <w:p>
      <w:pPr>
        <w:pStyle w:val="TextBody"/>
        <w:bidi w:val="0"/>
        <w:spacing w:lineRule="auto" w:line="240" w:before="0" w:after="120"/>
        <w:jc w:val="left"/>
        <w:rPr>
          <w:rFonts w:ascii="Times New Roman;serif" w:hAnsi="Times New Roman;serif"/>
          <w:b w:val="false"/>
          <w:i/>
          <w:color w:val="000000"/>
          <w:sz w:val="20"/>
        </w:rPr>
      </w:pPr>
      <w:r>
        <w:rPr>
          <w:rFonts w:ascii="Times New Roman;serif" w:hAnsi="Times New Roman;serif"/>
          <w:b w:val="false"/>
          <w:i/>
          <w:color w:val="000000"/>
          <w:sz w:val="20"/>
        </w:rPr>
        <w:t>b) European Hospital Liability Quota Share</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Collateral has been provided to both AEL and AIU DAC under the European Hospital Liability Quota Share. For AEL, the amount of the collateral held in reinsurance trust accounts at March 31, 2026 was $95,606 (December 31, 2025: $97,876) and the accrued interest was $572 (December 31, 2025: $668).</w:t>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10. Related Party Transactions (continued)</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Asset Management Agreement</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Effective July 1, 2007, Maiden entered into an asset management agreement with AII Insurance Management Limited ("AIIM"), a wholly owned subsidiary of AmTrust, pursuant to which AIIM agreed to provide investment management services to the Company. Effective January 1, 2018, AIIM provides investment management services for a quarterly fee of 0.02125% of the average value of the account. The agreement may be terminated upon 30 days written notice by either party. The Company recorded $36 of investment management fees for the three months ended March 31, 2026 under this agreement.</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September 9, 2020, Maiden Reinsurance, AmTrust and AIIM entered into a novation agreement, effective July 1, 2020, which provided for the novation of the asset management agreement, dated January 1, 2018 between Maiden Reinsurance and AIIM, and the release by Maiden Reinsurance of AIIM's obligations under the asset management agreement. The novation mandates that AmTrust is to be bound by the terms of the asset management agreement in place of AIIM and AmTrust agrees to perform any and all past, present and future obligations of AIIM under the asset management agreement.</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November 13, 2020, Maiden LF, Maiden GF, AmTrust and AIIM entered into a novation agreement, effective July 1, 2020, which provided for the novation of the asset management agreement, dated January 1, 2018 between Maiden LF, Maiden GF and AIIM, and the release by Maiden LF and Maiden GF of AIIM's obligations under the asset management agreement. The novation mandates that AmTrust is to be bound by the terms of the asset management agreement in place of AIIM and AmTrust agrees to perform any and all past, present and future obligations of AIIM under the asset management agreement.</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Renewal Rights Transaction - IIS Business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On May 3, 2024, Maiden LF and Maiden GF entered into a Renewal Rights and Asset Purchase Agreement with AmTrust Nordic AB, a Swedish unit of AmTrust, to cover certain programs of Maiden LF and Maiden GF's primary business written in Sweden, Norway and other Nordic countries.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On June 20, 2024, Maiden LF and Maiden GF entered into a Renewal Rights and Asset Purchase Agreement with AEL and AIU DAC, both wholly owned subsidiaries of AmTrust, to cover certain programs of Maiden LF and Maiden GF's primary business written in the United Kingdom and Ireland. </w:t>
      </w:r>
    </w:p>
    <w:p>
      <w:pPr>
        <w:pStyle w:val="TextBody"/>
        <w:bidi w:val="0"/>
        <w:spacing w:lineRule="auto" w:line="244"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Under these agreements, the AmTrust subsidiaries in collaboration with existing Maiden LF and Maiden GF distribution partners, offered renewals to select policyholders in exchange for a fee at standard market terms for business successfully renewed. All programs written by Maiden LF and GF, including those covered by the agreements as described above, were cancelled in accordance with either their contractual terms or as applicable, the requirements of these agreements. At March 31, 2026, Maiden LF and Maiden GF had substantially completed all the main contractual obligations as per the respective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240" w:after="120"/>
        <w:jc w:val="left"/>
        <w:rPr>
          <w:rFonts w:ascii="Times New Roman;serif" w:hAnsi="Times New Roman;serif"/>
          <w:b/>
          <w:color w:val="000000"/>
          <w:sz w:val="20"/>
        </w:rPr>
      </w:pPr>
      <w:r>
        <w:rPr>
          <w:rFonts w:ascii="Times New Roman;serif" w:hAnsi="Times New Roman;serif"/>
          <w:b/>
          <w:color w:val="000000"/>
          <w:sz w:val="20"/>
        </w:rPr>
        <w:t>11. Commitments, Contingencies and Guarantees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There are no material changes from the commitments, contingencies and concentrations previously disclosed in the Company’s Form 10-K for the year ended December 31, 2025. The following describes the Company's current commitments, contingencies and concentrations as of March 31, 2026:</w:t>
      </w:r>
    </w:p>
    <w:p>
      <w:pPr>
        <w:pStyle w:val="TextBody"/>
        <w:bidi w:val="0"/>
        <w:spacing w:lineRule="auto" w:line="240" w:before="0" w:after="120"/>
        <w:ind w:left="0" w:right="0" w:hanging="270"/>
        <w:jc w:val="both"/>
        <w:rPr>
          <w:rFonts w:ascii="Times New Roman;serif" w:hAnsi="Times New Roman;serif"/>
          <w:b/>
          <w:i/>
          <w:color w:val="000000"/>
          <w:sz w:val="20"/>
        </w:rPr>
      </w:pPr>
      <w:r>
        <w:rPr>
          <w:rFonts w:ascii="Times New Roman;serif" w:hAnsi="Times New Roman;serif"/>
          <w:b/>
          <w:i/>
          <w:color w:val="000000"/>
          <w:sz w:val="20"/>
        </w:rPr>
        <w:t>a)Concentrations of Credit Risk</w:t>
      </w:r>
    </w:p>
    <w:p>
      <w:pPr>
        <w:pStyle w:val="TextBody"/>
        <w:bidi w:val="0"/>
        <w:spacing w:lineRule="auto" w:line="240" w:before="0" w:after="120"/>
        <w:ind w:left="0" w:right="0" w:firstLine="270"/>
        <w:jc w:val="both"/>
        <w:rPr/>
      </w:pPr>
      <w:r>
        <w:rPr>
          <w:rFonts w:ascii="Times New Roman;serif" w:hAnsi="Times New Roman;serif"/>
          <w:b w:val="false"/>
          <w:color w:val="000000"/>
          <w:sz w:val="20"/>
        </w:rPr>
        <w:t>At March 31, 2026, the Company’s assets where significant concentrations of credit risk may exist include total investments, cash and cash equivalents, net loan receivable from related party, reinsurance balances receivable, reinsurance recoverable on paid and unpaid losses and funds withheld receivable. Please refer to "</w:t>
      </w:r>
      <w:r>
        <w:rPr>
          <w:rFonts w:ascii="Times New Roman;serif" w:hAnsi="Times New Roman;serif"/>
          <w:b w:val="false"/>
          <w:i/>
          <w:color w:val="000000"/>
          <w:sz w:val="20"/>
        </w:rPr>
        <w:t>Note 8. Reinsurance</w:t>
      </w:r>
      <w:r>
        <w:rPr>
          <w:rFonts w:ascii="Times New Roman;serif" w:hAnsi="Times New Roman;serif"/>
          <w:b w:val="false"/>
          <w:color w:val="000000"/>
          <w:sz w:val="20"/>
        </w:rPr>
        <w:t xml:space="preserve">" for additional information regarding the Company's credit risk exposure on its reinsurance counterparties including the impact of the LPT/ADC Agreement effective January 1, 2019. The Company requires its reinsurers to have adequate financial strength. </w:t>
      </w:r>
    </w:p>
    <w:p>
      <w:pPr>
        <w:pStyle w:val="TextBody"/>
        <w:bidi w:val="0"/>
        <w:spacing w:lineRule="auto" w:line="240" w:before="60" w:after="120"/>
        <w:ind w:left="0" w:right="0" w:firstLine="270"/>
        <w:jc w:val="both"/>
        <w:rPr/>
      </w:pPr>
      <w:r>
        <w:rPr>
          <w:rFonts w:ascii="Times New Roman;serif" w:hAnsi="Times New Roman;serif"/>
          <w:b w:val="false"/>
          <w:color w:val="000000"/>
          <w:sz w:val="20"/>
        </w:rPr>
        <w:t xml:space="preserve">As discussed in </w:t>
      </w:r>
      <w:r>
        <w:rPr>
          <w:rFonts w:ascii="Times New Roman;serif" w:hAnsi="Times New Roman;serif"/>
          <w:b w:val="false"/>
          <w:i/>
          <w:color w:val="000000"/>
          <w:sz w:val="20"/>
        </w:rPr>
        <w:t>Note 3. Segment Information</w:t>
      </w:r>
      <w:r>
        <w:rPr>
          <w:rFonts w:ascii="Times New Roman;serif" w:hAnsi="Times New Roman;serif"/>
          <w:b w:val="false"/>
          <w:color w:val="000000"/>
          <w:sz w:val="20"/>
        </w:rPr>
        <w:t xml:space="preserve">, the Company's Program Services segment consists of a cohesive suite of fronting services that are integrated and interdependent. For the three months ended March 31, 2026 and 2025, this revenue stream is highly concentrated due to capacity distribution agreements with an individual customer. For the three months ended March 31, 2026, fee revenue from this client accounted for $2,418 or 77.5% of total fee revenue earned (2025: $352 or 43.6%). </w:t>
      </w:r>
    </w:p>
    <w:p>
      <w:pPr>
        <w:pStyle w:val="TextBody"/>
        <w:bidi w:val="0"/>
        <w:spacing w:lineRule="auto" w:line="240" w:before="0" w:after="120"/>
        <w:ind w:left="0" w:right="0" w:firstLine="270"/>
        <w:jc w:val="both"/>
        <w:rPr/>
      </w:pPr>
      <w:r>
        <w:rPr>
          <w:rFonts w:ascii="Times New Roman;serif" w:hAnsi="Times New Roman;serif"/>
          <w:b w:val="false"/>
          <w:color w:val="000000"/>
          <w:sz w:val="20"/>
        </w:rPr>
        <w:t>The Company evaluates the financial condition of its reinsurers, program managers and MGAs and monitors its concentration of credit risk on an ongoing basis. Provisions are made for amounts that are considered potentially uncollectible. Reinsurance receivable and recoverable balances, net loan receivable from related party, and the funds withheld receivable are reviewed for expected credit losses on a quarterly basis and are presented net of an allowance for expected credit losses. Letters of credit are provided by its reinsurers for material amounts recoverable as discussed in "</w:t>
      </w:r>
      <w:r>
        <w:rPr>
          <w:rFonts w:ascii="Times New Roman;serif" w:hAnsi="Times New Roman;serif"/>
          <w:b w:val="false"/>
          <w:i/>
          <w:color w:val="000000"/>
          <w:sz w:val="20"/>
        </w:rPr>
        <w:t>Note 8. Reinsurance</w:t>
      </w:r>
      <w:r>
        <w:rPr>
          <w:rFonts w:ascii="Times New Roman;serif" w:hAnsi="Times New Roman;serif"/>
          <w:b w:val="false"/>
          <w:color w:val="000000"/>
          <w:sz w:val="20"/>
        </w:rPr>
        <w:t>".</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manages the concentration of credit risk in its investment portfolio through issuer and sector exposure limitations. The Company believes it bears minimal credit risk in its cash on deposit. The Company also monitors the credit risk related to the net loan receivable from related party, reinsurance balances receivable and funds withheld receivable, within which the largest balances are due from AmTrust. AmTrust has a financial strength/credit rating of A- (Excellent) from A.M. Best at March 31, 2026.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To mitigate credit risk, the Company generally has a contractual right of offset thereby allowing claims to be settled net of any premiums or loan receivable. The Company believes these balances as at March 31, 2026 will be fully collectible.</w:t>
      </w:r>
    </w:p>
    <w:p>
      <w:pPr>
        <w:pStyle w:val="TextBody"/>
        <w:bidi w:val="0"/>
        <w:spacing w:lineRule="auto" w:line="240" w:before="0" w:after="120"/>
        <w:ind w:left="0" w:right="0" w:hanging="270"/>
        <w:jc w:val="both"/>
        <w:rPr>
          <w:rFonts w:ascii="Times New Roman;serif" w:hAnsi="Times New Roman;serif"/>
          <w:b/>
          <w:i/>
          <w:color w:val="000000"/>
          <w:sz w:val="20"/>
        </w:rPr>
      </w:pPr>
      <w:r>
        <w:rPr>
          <w:rFonts w:ascii="Times New Roman;serif" w:hAnsi="Times New Roman;serif"/>
          <w:b/>
          <w:i/>
          <w:color w:val="000000"/>
          <w:sz w:val="20"/>
        </w:rPr>
        <w:t>b)Investment Commitments and Related Financial Guarantees</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total unfunded commitments on other investments and equity method investments was $23,061 at March 31, 2026 (December 31, 2025: $24,840). The table below shows total unfunded commitments by type of investment as at March 31, 2026 and December 31, 2025, respectively:</w:t>
      </w:r>
    </w:p>
    <w:tbl>
      <w:tblPr>
        <w:tblW w:w="10205" w:type="dxa"/>
        <w:jc w:val="left"/>
        <w:tblInd w:w="0" w:type="dxa"/>
        <w:tblLayout w:type="fixed"/>
        <w:tblCellMar>
          <w:top w:w="28" w:type="dxa"/>
          <w:left w:w="28" w:type="dxa"/>
          <w:bottom w:w="28" w:type="dxa"/>
          <w:right w:w="28" w:type="dxa"/>
        </w:tblCellMar>
      </w:tblPr>
      <w:tblGrid>
        <w:gridCol w:w="1659"/>
        <w:gridCol w:w="1454"/>
        <w:gridCol w:w="1462"/>
        <w:gridCol w:w="109"/>
        <w:gridCol w:w="109"/>
        <w:gridCol w:w="109"/>
        <w:gridCol w:w="211"/>
        <w:gridCol w:w="721"/>
        <w:gridCol w:w="109"/>
        <w:gridCol w:w="109"/>
        <w:gridCol w:w="109"/>
        <w:gridCol w:w="109"/>
        <w:gridCol w:w="307"/>
        <w:gridCol w:w="309"/>
        <w:gridCol w:w="474"/>
        <w:gridCol w:w="109"/>
        <w:gridCol w:w="109"/>
        <w:gridCol w:w="109"/>
        <w:gridCol w:w="211"/>
        <w:gridCol w:w="721"/>
        <w:gridCol w:w="109"/>
        <w:gridCol w:w="109"/>
        <w:gridCol w:w="109"/>
        <w:gridCol w:w="109"/>
        <w:gridCol w:w="307"/>
        <w:gridCol w:w="309"/>
        <w:gridCol w:w="534"/>
      </w:tblGrid>
      <w:tr>
        <w:trPr/>
        <w:tc>
          <w:tcPr>
            <w:tcW w:w="1659"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57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unfunded commitments on other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9,859 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47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11,164 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53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unfunded commitments on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57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unfunded commitments on alternative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23,061 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7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24,840 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3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Certain of the Company's investments in limited partnerships are related to real estate joint ventures with interests in multi-property projects with varying strategies ranging from the development of properties to the ownership of income-producing properties. In certain of these joint ventures, the Company has provided certain indemnities, guarantees and commitments to certain parties such that it may be required to make payments now or in the future.</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Any loss for which the Company could be liable would be contingent on the default of a loan by the real estate joint venture entity for which the Company provided a financial guarantee to a lender. While the Company has committed to aggregate limits as to the amount of guarantees it will provide as part of its limited partnerships, guarantees are only provided on an individual transaction basis and are subject to the terms and conditions of each transaction mutually agreed by the parties involved. The Company is not bound to such guarantees without its express authorization.</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discussed above, at March 31, 2026, guarantees of $72,175 (December 31, 2025: $73,170) were provided to lenders by the Company on behalf of real estate joint ventures, however, the likelihood of the Company incurring any losses pertaining to project level financing guarantees was determined to be remote. Therefore, no liability has been accrued under ASC 450-20.</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Other Contingent Commitments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Combination Agreement, Kestrel Equityholders are entitled to receive in contingent consideration up to the lesser of (x) an aggregate number of Kestrel Group common shares equal to $45,000 divided by certain volume weighted average prices of such shares, subject to the achievement of certain EBITDA milestones by the businesses that Kestrel conducted immediately prior to closing and any extensions of such businesses or related or ancillary businesses existing thereafter, subject to other terms and conditions as set forth in the combination agreement and (y) 2,750,000 common shares of Kestrel Group. </w:t>
      </w:r>
    </w:p>
    <w:p>
      <w:pPr>
        <w:pStyle w:val="TextBody"/>
        <w:bidi w:val="0"/>
        <w:spacing w:before="0" w:after="12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60" w:after="120"/>
        <w:jc w:val="both"/>
        <w:rPr>
          <w:rFonts w:ascii="Times New Roman;serif" w:hAnsi="Times New Roman;serif"/>
          <w:b/>
          <w:color w:val="000000"/>
          <w:sz w:val="20"/>
        </w:rPr>
      </w:pPr>
      <w:r>
        <w:rPr>
          <w:rFonts w:ascii="Times New Roman;serif" w:hAnsi="Times New Roman;serif"/>
          <w:b/>
          <w:color w:val="000000"/>
          <w:sz w:val="20"/>
        </w:rPr>
        <w:t>11. Commitments, Contingencies and Guarantees (continued)</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March 31, 2026 and December 31, 2025, the fair value of this contingent consideration was $0 as business subject to the earn out consideration computation was re-evaluated based upon current estimates of the Kestrel business for the Performance Period, including performance of the Program Services business through March 31, 2026.</w:t>
      </w:r>
    </w:p>
    <w:p>
      <w:pPr>
        <w:pStyle w:val="TextBody"/>
        <w:bidi w:val="0"/>
        <w:spacing w:lineRule="auto" w:line="244" w:before="60" w:after="120"/>
        <w:ind w:left="0" w:right="0" w:firstLine="270"/>
        <w:jc w:val="both"/>
        <w:rPr/>
      </w:pPr>
      <w:r>
        <w:rPr>
          <w:rFonts w:ascii="Times New Roman;serif" w:hAnsi="Times New Roman;serif"/>
          <w:b w:val="false"/>
          <w:color w:val="000000"/>
          <w:sz w:val="20"/>
        </w:rPr>
        <w:t xml:space="preserve">At March 31, 2026, the Company holds a contingent receivable in the insurance distribution industry. Pursuant to the terms of the asset purchase agreement, the Company will receive a series of distributions. The Company currently estimates that the net present value of these potential distributions is $10,159 which is classified as receivable and reported in </w:t>
      </w:r>
      <w:r>
        <w:rPr>
          <w:rFonts w:ascii="Times New Roman;serif" w:hAnsi="Times New Roman;serif"/>
          <w:b w:val="false"/>
          <w:i/>
          <w:color w:val="000000"/>
          <w:sz w:val="20"/>
        </w:rPr>
        <w:t>Other Assets</w:t>
      </w:r>
      <w:r>
        <w:rPr>
          <w:color w:val="000000"/>
        </w:rPr>
        <w:t xml:space="preserve"> </w:t>
      </w:r>
      <w:r>
        <w:rPr>
          <w:rFonts w:ascii="Times New Roman;serif" w:hAnsi="Times New Roman;serif"/>
          <w:b w:val="false"/>
          <w:color w:val="000000"/>
          <w:sz w:val="20"/>
        </w:rPr>
        <w:t>on the Condensed Consolidated Balance Sheets at March 31, 2026 (December 31, 2025: $9,955). Under ASC 805, the earn out consideration for this receivable is adjusted to fair value at each reporting period with gains of $203 for the three months ended March 31, 2026 reported immediately in net loss through foreign exchange and other gains.</w:t>
      </w:r>
    </w:p>
    <w:p>
      <w:pPr>
        <w:pStyle w:val="TextBody"/>
        <w:bidi w:val="0"/>
        <w:spacing w:lineRule="auto" w:line="240" w:before="0" w:after="120"/>
        <w:ind w:left="0" w:right="0" w:hanging="270"/>
        <w:jc w:val="both"/>
        <w:rPr>
          <w:rFonts w:ascii="Times New Roman;serif" w:hAnsi="Times New Roman;serif"/>
          <w:b/>
          <w:i/>
          <w:color w:val="000000"/>
          <w:sz w:val="20"/>
        </w:rPr>
      </w:pPr>
      <w:r>
        <w:rPr>
          <w:rFonts w:ascii="Times New Roman;serif" w:hAnsi="Times New Roman;serif"/>
          <w:b/>
          <w:i/>
          <w:color w:val="000000"/>
          <w:sz w:val="20"/>
        </w:rPr>
        <w:t>c)Operating Lease Commitments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leases office spaces and equipment under various operating leases expiring in various years through 2034. The Company's leases are currently classified as operating leases and none of them have non-lease components. For operating leases that have a lease term of more than twelve months, and whose operating lease payments are above a certain threshold, the Company recognizes a lease liability and a right-of-use asset in the Condensed Consolidated Balance Sheets at the present value of the remaining lease payments until expiration. The Company has made an accounting policy election not to include renewal, termination, or purchase options that are not reasonably certain of exercise when determining the term of the borrowing. The Company’s lease agreements do not contain any material residual value guarantees or material restrictive covenants.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Kestrel leases office space for the corporate office in Austin, Texas, through Kestrel Service Corporation, that expires in December 2027. The Austin office is the Company's principal executive office since February 1, 2026. Lease payments have an escalating fee schedule, which range from a 3% to 4% increase each year. Termination of the lease is generally prohibited unless there is a violation under the lease agreement. The Company also leases office space in a building in New York City which Maiden has leased since April 2024; this created a right-of-use asset and lease liability upon completion of leasehold improvements for the ten-year operating lease. This lease comprises a majority of the lease liabilty and right-of-use asset recognized on the Condensed Consolidated Balance Sheets at March 31, 2026 and December 31, 2025.</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the lease contracts generally do not provide an implicit discount rate, the Company used the weighted-average discount rate of 7.2%, representing its secured incremental borrowing rate, in calculating the present value of the lease liability. At March 31, 2026, the Company's future lease obligations of $2,000 (December 31, 2025: $2,054) were calculated based on the present value of future annual rental commitments excluding taxes, insurance and other operating costs for non-cancellable operating leases discounted using its secured incremental borrowing rate. This amount has been recognized on the Condensed Consolidated Balance Sheet as a lease liability within accrued expenses and other liabilities with the right-of-use asset presented as part of other assets. At March 31, 2026, the Company's right-of-use lease asset was $1,972 (December 31, 2025: $2,029). The Company's weighted-average remaining lease term is approximately 8.0 years at March 31, 2026. </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Under </w:t>
      </w:r>
      <w:r>
        <w:rPr>
          <w:rFonts w:ascii="Times New Roman;serif" w:hAnsi="Times New Roman;serif"/>
          <w:b w:val="false"/>
          <w:i/>
          <w:color w:val="000000"/>
          <w:sz w:val="20"/>
        </w:rPr>
        <w:t>Topic 842, Leases</w:t>
      </w:r>
      <w:r>
        <w:rPr>
          <w:rFonts w:ascii="Times New Roman;serif" w:hAnsi="Times New Roman;serif"/>
          <w:b w:val="false"/>
          <w:color w:val="000000"/>
          <w:sz w:val="20"/>
        </w:rPr>
        <w:t xml:space="preserve">, the Company continues to recognize the related leasing expense on a straight-line basis over the lease term on the Condensed Consolidated Statements of Operations. The Company's total office lease expense was $111 for three months ended March 31, 2026 (2025: $49) recognized within general and administrative expenses consistent with the prior accounting treatment under </w:t>
      </w:r>
      <w:r>
        <w:rPr>
          <w:rFonts w:ascii="Times New Roman;serif" w:hAnsi="Times New Roman;serif"/>
          <w:b w:val="false"/>
          <w:i/>
          <w:color w:val="000000"/>
          <w:sz w:val="20"/>
        </w:rPr>
        <w:t xml:space="preserve">Topic 840. </w:t>
      </w:r>
      <w:r>
        <w:rPr>
          <w:rFonts w:ascii="Times New Roman;serif" w:hAnsi="Times New Roman;serif"/>
          <w:b w:val="false"/>
          <w:color w:val="000000"/>
          <w:sz w:val="20"/>
        </w:rPr>
        <w:t>At March 31, 2026, the scheduled maturity of the Company's operating lease liabilities are expected to be as follows:</w:t>
      </w:r>
    </w:p>
    <w:tbl>
      <w:tblPr>
        <w:tblW w:w="5336" w:type="dxa"/>
        <w:jc w:val="left"/>
        <w:tblInd w:w="0" w:type="dxa"/>
        <w:tblLayout w:type="fixed"/>
        <w:tblCellMar>
          <w:top w:w="28" w:type="dxa"/>
          <w:left w:w="28" w:type="dxa"/>
          <w:bottom w:w="28" w:type="dxa"/>
          <w:right w:w="28" w:type="dxa"/>
        </w:tblCellMar>
      </w:tblPr>
      <w:tblGrid>
        <w:gridCol w:w="1339"/>
        <w:gridCol w:w="1174"/>
        <w:gridCol w:w="1191"/>
        <w:gridCol w:w="109"/>
        <w:gridCol w:w="109"/>
        <w:gridCol w:w="109"/>
        <w:gridCol w:w="280"/>
        <w:gridCol w:w="820"/>
        <w:gridCol w:w="205"/>
      </w:tblGrid>
      <w:tr>
        <w:trPr/>
        <w:tc>
          <w:tcPr>
            <w:tcW w:w="133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3704"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205"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20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20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for present value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w:t>
            </w:r>
          </w:p>
        </w:tc>
        <w:tc>
          <w:tcPr>
            <w:tcW w:w="20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discounted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120"/>
        <w:ind w:left="0" w:right="0" w:hanging="270"/>
        <w:jc w:val="left"/>
        <w:rPr>
          <w:rFonts w:ascii="Times New Roman;serif" w:hAnsi="Times New Roman;serif"/>
          <w:b/>
          <w:i/>
          <w:color w:val="000000"/>
          <w:sz w:val="20"/>
        </w:rPr>
      </w:pPr>
      <w:r>
        <w:rPr>
          <w:rFonts w:ascii="Times New Roman;serif" w:hAnsi="Times New Roman;serif"/>
          <w:b/>
          <w:i/>
          <w:color w:val="000000"/>
          <w:sz w:val="20"/>
        </w:rPr>
        <w:t>d)Legal Proceedings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Except as noted below, the Company is not a party to any material legal proceedings. From time to time, the Company is subject to routine legal proceedings, including arbitration, arising in the ordinary course of business. These legal proceedings generally relate to claims asserted by or against the Company in the ordinary course of insurance or reinsurance operations. Based on the Company's opinion, the eventual outcome of these legal proceedings is not expected to have a material adverse effect on its financial condition or results of operations.</w:t>
      </w:r>
    </w:p>
    <w:p>
      <w:pPr>
        <w:pStyle w:val="TextBody"/>
        <w:bidi w:val="0"/>
        <w:spacing w:before="0" w:after="120"/>
        <w:ind w:left="0" w:right="0" w:firstLine="270"/>
        <w:jc w:val="both"/>
        <w:rPr/>
      </w:pPr>
      <w:r>
        <w:rPr/>
      </w:r>
    </w:p>
    <w:p>
      <w:pPr>
        <w:pStyle w:val="TextBody"/>
        <w:bidi w:val="0"/>
        <w:spacing w:before="0" w:after="12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60" w:after="120"/>
        <w:jc w:val="both"/>
        <w:rPr>
          <w:rFonts w:ascii="Times New Roman;serif" w:hAnsi="Times New Roman;serif"/>
          <w:b/>
          <w:color w:val="000000"/>
          <w:sz w:val="20"/>
        </w:rPr>
      </w:pPr>
      <w:r>
        <w:rPr>
          <w:rFonts w:ascii="Times New Roman;serif" w:hAnsi="Times New Roman;serif"/>
          <w:b/>
          <w:color w:val="000000"/>
          <w:sz w:val="20"/>
        </w:rPr>
        <w:t>11. Commitments, Contingencies and Guarantees (continued)</w:t>
      </w:r>
    </w:p>
    <w:p>
      <w:pPr>
        <w:pStyle w:val="TextBody"/>
        <w:bidi w:val="0"/>
        <w:spacing w:lineRule="auto" w:line="240" w:before="0" w:after="120"/>
        <w:ind w:left="0" w:right="0" w:firstLine="27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putative class action complaint was filed against Maiden Holdings, Ltd., Arturo M. Raschbaum, Karen L. Schmitt, and John M. Marshaleck in the United States District Court for the District of New Jersey on February 11, 2019. On February 19, 2020, the Court appointed lead plaintiffs, and on May 1, 2020, lead plaintiffs filed an amended class action complaint (the “Amended Complaint”). The Amended Complaint asserts violations of Section 10(b) of the Exchange Act and Rule 10b-5 (and Section 20(a) for control person liability) arising in large part from allegations that Maiden failed to take adequate loss reserves in connection with reinsurance provided to AmTrust. Plaintiffs further claim that certain of Maiden's representations concerning its business, underwriting and financial statements were rendered false by the allegedly inadequate loss reserves, that these misrepresentations inflated the price of Maiden's common stock, and that when the truth about the misrepresentations was revealed, Maiden's stock price fell, causing plaintiffs to incur losses. On September 11, 2020, a motion to dismiss was filed on behalf of all defendants. On August 6, 2021, the Court issued an order denying, in part, defendants’ motion to dismiss, ordering plaintiffs to file a shorter amended complaint no later than August 20, 2021, and permitting discovery to proceed on a limited basis.</w:t>
      </w:r>
    </w:p>
    <w:p>
      <w:pPr>
        <w:pStyle w:val="TextBody"/>
        <w:bidi w:val="0"/>
        <w:spacing w:lineRule="auto" w:line="240" w:before="0" w:after="120"/>
        <w:ind w:left="0" w:right="0" w:firstLine="27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February 7, 2023, the District Court denied plaintiffs’ motion for reconsideration of the District Court’s decision denying plaintiffs’ objection to the Magistrate Judge’s December 2021 ruling on discovery. On May 26, 2023, Maiden filed a Renewed Motion to Dismiss the Second Amended Complaint or, in the Alternative, for Summary Judgment. On December 19, 2023, the U.S. District Court for the District of New Jersey granted summary judgment on plaintiffs’ claim for securities fraud under Section 10(b) of the Securities Exchange Act to Maiden and individual defendants Arturo Raschbaum, Karen Schmitt, and John Marshaleck. The Court held that the factual record failed to support, as a matter of law, plaintiffs’ allegations that the defendants had made false statements regarding Maiden's loss reserves. The Court also dismissed plaintiffs’ claims that the individual defendants were liable as control persons under Section 20(a) of the Securities Exchange Act for any such alleged false statements. Plaintiffs appealed to the United States Court of Appeals for the Third Circuit.</w:t>
      </w:r>
    </w:p>
    <w:p>
      <w:pPr>
        <w:pStyle w:val="TextBody"/>
        <w:bidi w:val="0"/>
        <w:spacing w:lineRule="auto" w:line="240" w:before="0" w:after="120"/>
        <w:ind w:left="0" w:right="0" w:firstLine="270"/>
        <w:jc w:val="both"/>
        <w:rPr/>
      </w:pPr>
      <w:r>
        <w:rPr>
          <w:rFonts w:ascii="Times New Roman;serif" w:hAnsi="Times New Roman;serif"/>
          <w:b w:val="false"/>
          <w:color w:val="000000"/>
          <w:sz w:val="20"/>
          <w:shd w:fill="FFFFFF" w:val="clear"/>
        </w:rPr>
        <w:t>On August 20, 2025, the United States Court of Appeals for the Third Circuit vacated the U.S. District Court for the District of New Jersey’s order granting summary judgment to Maiden and individual defendants Arturo Raschbaum, Karen Schmitt, and John Marshaleck</w:t>
      </w:r>
      <w:r>
        <w:rPr>
          <w:rFonts w:ascii="Times New Roman;serif" w:hAnsi="Times New Roman;serif"/>
          <w:b w:val="false"/>
          <w:i/>
          <w:color w:val="000000"/>
          <w:sz w:val="20"/>
        </w:rPr>
        <w:t>.</w:t>
      </w:r>
      <w:r>
        <w:rPr>
          <w:color w:val="000000"/>
          <w:shd w:fill="FFFFFF" w:val="clear"/>
        </w:rPr>
        <w:t xml:space="preserve"> </w:t>
      </w:r>
      <w:r>
        <w:rPr>
          <w:rFonts w:ascii="Times New Roman;serif" w:hAnsi="Times New Roman;serif"/>
          <w:b w:val="false"/>
          <w:color w:val="000000"/>
          <w:sz w:val="20"/>
          <w:shd w:fill="FFFFFF" w:val="clear"/>
        </w:rPr>
        <w:t xml:space="preserve">The Third Circuit disagreed with the District Court’s holding that the current case record required judgment for Maiden, as a matter of law, on the issue of whether Maiden’s loss reserves were misleading. The Court explained further that it was not issuing a ruling on the element of scienter. The Third Circuit therefore vacated the opinion of the District Court and remanded the case to the District Court with instructions to permit plaintiffs to pursue discovery with respect to their claims for securities fraud under Section 10(b) of the Securities Exchange Act. </w:t>
      </w:r>
      <w:r>
        <w:rPr>
          <w:rFonts w:ascii="Times New Roman;serif" w:hAnsi="Times New Roman;serif"/>
          <w:b w:val="false"/>
          <w:color w:val="000000"/>
          <w:sz w:val="20"/>
        </w:rPr>
        <w:t>The Third Circuit denied defendants' petition for rehearing on September 16, 2025. Discovery is now proceeding in the action. Maiden believes it has procedural and substantive defenses to the asserted claims, and it intends to oppose and defend against these claims</w:t>
      </w:r>
      <w:r>
        <w:rPr>
          <w:rFonts w:ascii="Times New Roman;serif" w:hAnsi="Times New Roman;serif"/>
          <w:b w:val="false"/>
          <w:color w:val="000000"/>
          <w:sz w:val="20"/>
          <w:shd w:fill="FFFFFF" w:val="clear"/>
        </w:rPr>
        <w:t>.</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On December 26, 2024, WUSO Holding Corporation and 683 Capital Partners filed a lawsuit against Maiden NA and </w:t>
      </w:r>
      <w:r>
        <w:rPr>
          <w:rFonts w:ascii="Times New Roman;serif" w:hAnsi="Times New Roman;serif"/>
          <w:b w:val="false"/>
          <w:color w:val="000000"/>
          <w:sz w:val="20"/>
          <w:shd w:fill="FFFFFF" w:val="clear"/>
        </w:rPr>
        <w:t>Maiden</w:t>
      </w:r>
      <w:r>
        <w:rPr>
          <w:color w:val="000000"/>
        </w:rPr>
        <w:t xml:space="preserve"> </w:t>
      </w:r>
      <w:r>
        <w:rPr>
          <w:rFonts w:ascii="Times New Roman;serif" w:hAnsi="Times New Roman;serif"/>
          <w:b w:val="false"/>
          <w:color w:val="000000"/>
          <w:sz w:val="20"/>
        </w:rPr>
        <w:t xml:space="preserve">in the Supreme Court of the State of New York, County of New York, captioned WUSO Holding Corporation and 683 Capital Partners, LP v. Maiden Holdings North America, Ltd. and Maiden Holdings, Ltd., Index No. 659861/2024. The complaint alleges that Maiden’s sale of Maiden Reinsurance North America, Inc., which closed approximately six years before the date of the complaint, breached a sole provision of Maiden’s indenture governing its 2013 Senior Notes. Plaintiffs allege that principal and interest payable under the 2013 Senior Notes are due currently, rather than upon the stated maturity date of the 2013 Senior Notes. On June 17, 2025, the Supreme Court of the State of New York, County of New York, considered and granted Maiden’s motion to dismiss the complaint in its entirety. On August 6, 2025, plaintiffs filed a notice of appeal, triggering a six month deadline to perfect their appeal in the First Judicial Department of the New York Appellate Division. Plaintiffs subsequently requested extensions to perfect their appeal, which the court granted, setting a deadline of April 8, 2026. Plaintiffs filed their brief on the April 8, 2026 deadline and Maiden intends to file a brief in opposition.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addition to filing the notice of appeal, on August 12, 2025, plaintiffs filed a separate complaint against Maiden in the Supreme Court of the State of New York, County of New York. In the new complaint, plaintiffs allege that they have standing and authorization to bring suit, contending that they satisfied the no-action clause in the indenture because, on June 10, 2025, they requested, on behalf of holders of at least 25% of the outstanding 2013 Senior Notes, that the indenture trustee commence a related action, accompanied by an offer to indemnify, and the indenture trustee did not institute such proceedings within 60 days of the request. On October 6, 2025, Maiden filed a motion to dismiss, and the Court held oral argument on the fully-briefed motion. On April 20, 2026, the Court issued an order denying the motion to dismiss and directing the defendants to submit an answer to the complaint by May 18, 2026. Maiden believes it has substantial procedural and substantive defenses to the asserted claims, and it intends to vigorously defend against these claims.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believe all of the above claims are without merit and we intend to vigorously defend ourselves. It is possible that additional lawsuits will be filed against the Company, its subsidiaries and its respective officers due to the diminution in value of our securities as a result of our operating results and financial condition. It is currently uncertain as to the effect of such litigation on our business, operating results and financial condition.</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Arbitration Proceedings</w:t>
      </w:r>
    </w:p>
    <w:p>
      <w:pPr>
        <w:pStyle w:val="TextBody"/>
        <w:bidi w:val="0"/>
        <w:spacing w:lineRule="auto" w:line="228"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November 26, 2025, the Company reported that a subsidiary of GLS, pursuant to the terms of the underlying reinsurance contract, demanded and participated in an arbitration with one of its ceding companies. Under the subject reinsurance agreement, GLS provides the ceding company in question with (i) reinsurance premium protection (“RPP”) coverage with aggregate limits of approximately $25,000, and (ii) adverse development coverage (“ADC”) with remaining aggregate limits of $25,500.</w:t>
      </w:r>
    </w:p>
    <w:p>
      <w:pPr>
        <w:pStyle w:val="TextBody"/>
        <w:bidi w:val="0"/>
        <w:spacing w:before="6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60" w:after="120"/>
        <w:jc w:val="both"/>
        <w:rPr>
          <w:rFonts w:ascii="Times New Roman;serif" w:hAnsi="Times New Roman;serif"/>
          <w:b/>
          <w:color w:val="000000"/>
          <w:sz w:val="20"/>
        </w:rPr>
      </w:pPr>
      <w:r>
        <w:rPr>
          <w:rFonts w:ascii="Times New Roman;serif" w:hAnsi="Times New Roman;serif"/>
          <w:b/>
          <w:color w:val="000000"/>
          <w:sz w:val="20"/>
        </w:rPr>
        <w:t>11. Commitments, Contingencies and Guarantees (continued)</w:t>
      </w:r>
    </w:p>
    <w:p>
      <w:pPr>
        <w:pStyle w:val="TextBody"/>
        <w:bidi w:val="0"/>
        <w:spacing w:lineRule="auto" w:line="228"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GLS is asserting that the cedant has committed multiple breaches of the reinsurance agreement, along with other material misrepresentations. Based on these assertions, GLS is seeking full rescission of the reinsurance agreement and related relief, including the ability to recoup losses previously paid, and has denied payment of certain invoices for contractual performance pending the outcome of this arbitration. GLS previously paid net losses of $10,805 related to the RPP coverage. GLS has not paid any losses subject to the ADC coverage of the reinsurance agreement in question. As of March 31, 2026, GLS has liabilities of $3,984 subject to the RPP coverage and $7,500 in reserves for the ADC coverage. GLS received premiums totaling $9,734 and $9,800 for the RPP and ADC coverages, respectively.</w:t>
      </w:r>
    </w:p>
    <w:p>
      <w:pPr>
        <w:pStyle w:val="TextBody"/>
        <w:bidi w:val="0"/>
        <w:spacing w:lineRule="auto" w:line="228"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GLS is vigorously pursuing its claims for rescission and recovery of amounts previously paid. The matter is currently proceeding in arbitration, and an arbitration hearing has now been completed with a decision likely in the second quarter of 2026. The cedant disputes GLS assertions, denying that it breached the agreement, and seeks to continue the contract in full force.</w:t>
      </w:r>
    </w:p>
    <w:p>
      <w:pPr>
        <w:pStyle w:val="TextBody"/>
        <w:bidi w:val="0"/>
        <w:spacing w:lineRule="auto" w:line="228"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outcome of the arbitration is inherently uncertain. If GLS is successful, it may be entitled to recover up to $10,000 in losses previously paid and may be relieved of its remaining obligations under the reinsurance agreement in addition to other requested relief. If GLS is unsuccessful, GLS may be required to continue performing under the contract, including potentially paying additional amounts under the RPP coverage, subject to a cap, and being liable for additional amounts under the ADC coverage. The Company's subsidiary Maiden Reinsurance Ltd. has provided a parental guarantee to guarantee the performance and obligations of GLS as finally determined in connection with the arbitration.</w:t>
      </w:r>
    </w:p>
    <w:p>
      <w:pPr>
        <w:pStyle w:val="TextBody"/>
        <w:bidi w:val="0"/>
        <w:spacing w:lineRule="auto" w:line="228"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At this time, the Company cannot reasonably estimate the amount or range of any gain or loss that may result from this matter. Accordingly, no accrual or gain contingency has been recorded in the Company’s reserves and other liabilities. An adverse outcome could be material to the Company’s results of operations or cash flows for a particular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12. Earnings per Common Share</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shows a summary of the elements used in calculating basic and diluted earnings per common share for the three months ended March 31, 2026 and 2025, respectively:</w:t>
      </w:r>
    </w:p>
    <w:tbl>
      <w:tblPr>
        <w:tblW w:w="10205" w:type="dxa"/>
        <w:jc w:val="center"/>
        <w:tblInd w:w="0" w:type="dxa"/>
        <w:tblLayout w:type="fixed"/>
        <w:tblCellMar>
          <w:top w:w="28" w:type="dxa"/>
          <w:left w:w="28" w:type="dxa"/>
          <w:bottom w:w="28" w:type="dxa"/>
          <w:right w:w="28" w:type="dxa"/>
        </w:tblCellMar>
      </w:tblPr>
      <w:tblGrid>
        <w:gridCol w:w="2129"/>
        <w:gridCol w:w="1817"/>
        <w:gridCol w:w="1822"/>
        <w:gridCol w:w="109"/>
        <w:gridCol w:w="109"/>
        <w:gridCol w:w="109"/>
        <w:gridCol w:w="109"/>
        <w:gridCol w:w="109"/>
        <w:gridCol w:w="213"/>
        <w:gridCol w:w="213"/>
        <w:gridCol w:w="457"/>
        <w:gridCol w:w="1335"/>
        <w:gridCol w:w="213"/>
        <w:gridCol w:w="109"/>
        <w:gridCol w:w="109"/>
        <w:gridCol w:w="109"/>
        <w:gridCol w:w="279"/>
        <w:gridCol w:w="697"/>
        <w:gridCol w:w="158"/>
      </w:tblGrid>
      <w:tr>
        <w:trPr/>
        <w:tc>
          <w:tcPr>
            <w:tcW w:w="2129"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461" w:type="dxa"/>
            <w:gridSpan w:val="6"/>
            <w:tcBorders/>
          </w:tcPr>
          <w:p>
            <w:pPr>
              <w:pStyle w:val="TableContents"/>
              <w:bidi w:val="0"/>
              <w:spacing w:before="0" w:after="283"/>
              <w:jc w:val="left"/>
              <w:rPr>
                <w:sz w:val="4"/>
                <w:szCs w:val="4"/>
              </w:rPr>
            </w:pPr>
            <w:r>
              <w:rPr>
                <w:sz w:val="4"/>
                <w:szCs w:val="4"/>
              </w:rPr>
            </w:r>
          </w:p>
        </w:tc>
      </w:tr>
      <w:tr>
        <w:trPr/>
        <w:tc>
          <w:tcPr>
            <w:tcW w:w="57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68"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Numerator:</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005"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5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5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5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5768"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Amount allocated to participating common shareholders</w:t>
            </w:r>
            <w:r>
              <w:rPr>
                <w:rFonts w:ascii="Times New Roman;serif" w:hAnsi="Times New Roman;serif"/>
                <w:b w:val="false"/>
                <w:color w:val="000000"/>
                <w:sz w:val="13"/>
              </w:rPr>
              <w:t>(1)</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79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available to Kestrel common shareholders before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7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(6,953)</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8"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net of income tax</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79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21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5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5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Kestrel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(7,431)</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005" w:type="dxa"/>
            <w:gridSpan w:val="3"/>
            <w:tcBorders>
              <w:top w:val="doub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5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5768"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Weighted average number of common shares – basic and diluted</w:t>
            </w:r>
            <w:r>
              <w:rPr>
                <w:rFonts w:ascii="Times New Roman;serif" w:hAnsi="Times New Roman;serif"/>
                <w:b/>
                <w:color w:val="000000"/>
                <w:sz w:val="13"/>
              </w:rPr>
              <w:t>(1)</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79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7,752,415 </w:t>
            </w:r>
          </w:p>
        </w:tc>
        <w:tc>
          <w:tcPr>
            <w:tcW w:w="21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2,749,996 </w:t>
            </w:r>
          </w:p>
        </w:tc>
        <w:tc>
          <w:tcPr>
            <w:tcW w:w="15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5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5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5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5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8"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 loss from continuing operations per share attributable to Kestrel shareholders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57"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5"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w:t>
            </w:r>
          </w:p>
        </w:tc>
        <w:tc>
          <w:tcPr>
            <w:tcW w:w="21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5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 loss from discontinued operations per share attributable to Kestrel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8"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Basic and diluted loss per share attributable to Kestrel shareholders: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5"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w:t>
            </w:r>
          </w:p>
        </w:tc>
        <w:tc>
          <w:tcPr>
            <w:tcW w:w="213"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58"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60" w:after="60"/>
        <w:ind w:left="0" w:right="0" w:hanging="360"/>
        <w:jc w:val="both"/>
        <w:rPr/>
      </w:pPr>
      <w:r>
        <w:rPr>
          <w:rFonts w:ascii="sans-serif" w:hAnsi="sans-serif"/>
          <w:b w:val="false"/>
          <w:color w:val="000000"/>
          <w:sz w:val="16"/>
        </w:rPr>
        <w:t>(1)</w:t>
      </w:r>
      <w:r>
        <w:rPr>
          <w:rFonts w:ascii="Times New Roman;serif" w:hAnsi="Times New Roman;serif"/>
          <w:b w:val="false"/>
          <w:color w:val="000000"/>
          <w:sz w:val="16"/>
        </w:rPr>
        <w:t>At March 31, 2025, there were 655,643 unvested restricted shares and 4,275 stock options that may be potentially dilutive in periods where income is reported. These securities were not included in the loss per share calculations for the three months ended March 31, 2026.</w:t>
      </w:r>
    </w:p>
    <w:p>
      <w:pPr>
        <w:pStyle w:val="TextBody"/>
        <w:bidi w:val="0"/>
        <w:spacing w:lineRule="auto" w:line="240" w:before="60" w:after="60"/>
        <w:ind w:left="0" w:right="0" w:hanging="360"/>
        <w:jc w:val="both"/>
        <w:rPr/>
      </w:pPr>
      <w:r>
        <w:rPr>
          <w:rFonts w:ascii="Times New Roman;serif" w:hAnsi="Times New Roman;serif"/>
          <w:b w:val="false"/>
          <w:color w:val="000000"/>
          <w:sz w:val="16"/>
        </w:rPr>
        <w:t xml:space="preserve">(2)For the three months ended March 31, 2025, the number of common shares outstanding decreased as a result of the reverse stock split, therefore the computations of basic and diluted EPS was adjusted retroactively for all periods presented to reflect that change in capital structure. As discussed in </w:t>
      </w:r>
      <w:r>
        <w:rPr>
          <w:rFonts w:ascii="Times New Roman;serif" w:hAnsi="Times New Roman;serif"/>
          <w:b w:val="false"/>
          <w:i/>
          <w:color w:val="000000"/>
          <w:sz w:val="16"/>
        </w:rPr>
        <w:t>Note 1. Organization</w:t>
      </w:r>
      <w:r>
        <w:rPr>
          <w:rFonts w:ascii="Times New Roman;serif" w:hAnsi="Times New Roman;serif"/>
          <w:b w:val="false"/>
          <w:color w:val="000000"/>
          <w:sz w:val="16"/>
        </w:rPr>
        <w:t>, pursuant to the terms of the Combination, at the closing of the transaction on May 27, 2025, each issued and outstanding common share of Maiden, par value $0.01 per share, was automatically canceled and converted into the right to receive one-twentieth (0.05) of a common share in Kestrel Group. The equityholders of Kestrel LLC at the closing date received 2,749,996 common shares of the Kestrel Group.</w:t>
      </w:r>
    </w:p>
    <w:p>
      <w:pPr>
        <w:pStyle w:val="TextBody"/>
        <w:bidi w:val="0"/>
        <w:spacing w:before="0" w:after="60"/>
        <w:jc w:val="both"/>
        <w:rPr/>
      </w:pPr>
      <w:r>
        <w:rPr/>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13. Income Taxes</w:t>
      </w:r>
    </w:p>
    <w:p>
      <w:pPr>
        <w:pStyle w:val="TextBody"/>
        <w:bidi w:val="0"/>
        <w:spacing w:lineRule="auto" w:line="244"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recognized income tax expense of $6 for the three months ended March 31, 2026 compared to income tax expense of $92 for the same period in 2025. The effective tax rate on the Company's net loss differs from the statutory rate of zero percent under Bermuda law due to tax on foreign operations, primarily the U.S. </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A valuation allowance has been established against the net U.S. and International deferred tax assets which is primarily attributable to net operating losses in the respective regions. At this time, the Company believes it is necessary to establish a valuation allowance against the U.S. and International net deferred tax assets as more evidence is needed regarding the utilization of these losses.</w:t>
      </w:r>
    </w:p>
    <w:p>
      <w:pPr>
        <w:pStyle w:val="TextBody"/>
        <w:bidi w:val="0"/>
        <w:spacing w:lineRule="auto" w:line="240" w:before="0" w:after="120"/>
        <w:ind w:left="0" w:right="0" w:firstLine="270"/>
        <w:jc w:val="both"/>
        <w:rPr/>
      </w:pPr>
      <w:r>
        <w:rPr>
          <w:rFonts w:ascii="Times New Roman;serif" w:hAnsi="Times New Roman;serif"/>
          <w:b w:val="false"/>
          <w:color w:val="000000"/>
          <w:sz w:val="20"/>
        </w:rPr>
        <w:t>At March 31, 2026, the Company has available net operating loss ("NOL") carry-forwards of</w:t>
      </w:r>
      <w:r>
        <w:rPr>
          <w:color w:val="000000"/>
          <w:shd w:fill="FFFFFF" w:val="clear"/>
        </w:rPr>
        <w:t xml:space="preserve"> </w:t>
      </w:r>
      <w:r>
        <w:rPr>
          <w:rFonts w:ascii="Times New Roman;serif" w:hAnsi="Times New Roman;serif"/>
          <w:b w:val="false"/>
          <w:color w:val="000000"/>
          <w:sz w:val="20"/>
        </w:rPr>
        <w:t xml:space="preserve">$476,297 (December 31, 2025: $473,094) for income tax purposes. Approximately $387,594 (December 31, 2025: $388,724) of NOL carryforwards expire in various years beginning in 2029. As of </w:t>
      </w:r>
      <w:r>
        <w:rPr>
          <w:rFonts w:ascii="Times New Roman;serif" w:hAnsi="Times New Roman;serif"/>
          <w:b w:val="false"/>
          <w:color w:val="000000"/>
          <w:sz w:val="20"/>
          <w:shd w:fill="FFFFFF" w:val="clear"/>
        </w:rPr>
        <w:t xml:space="preserve">March 31, 2026, approximately </w:t>
      </w:r>
      <w:r>
        <w:rPr>
          <w:rFonts w:ascii="Times New Roman;serif" w:hAnsi="Times New Roman;serif"/>
          <w:b w:val="false"/>
          <w:color w:val="000000"/>
          <w:sz w:val="20"/>
        </w:rPr>
        <w:t>$88,703</w:t>
      </w:r>
      <w:r>
        <w:rPr>
          <w:color w:val="000000"/>
          <w:shd w:fill="FFFFFF" w:val="clear"/>
        </w:rPr>
        <w:t xml:space="preserve"> </w:t>
      </w:r>
      <w:r>
        <w:rPr>
          <w:rFonts w:ascii="Times New Roman;serif" w:hAnsi="Times New Roman;serif"/>
          <w:b w:val="false"/>
          <w:color w:val="000000"/>
          <w:sz w:val="20"/>
          <w:shd w:fill="FFFFFF" w:val="clear"/>
        </w:rPr>
        <w:t xml:space="preserve">or </w:t>
      </w:r>
      <w:r>
        <w:rPr>
          <w:rFonts w:ascii="Times New Roman;serif" w:hAnsi="Times New Roman;serif"/>
          <w:b w:val="false"/>
          <w:color w:val="000000"/>
          <w:sz w:val="20"/>
        </w:rPr>
        <w:t>18.6% of the Company's NOL carryforwards have no expiry date under the relevant U.S. tax law (December 31, 2025: $84,370 or 17.8%).</w:t>
      </w:r>
    </w:p>
    <w:p>
      <w:pPr>
        <w:pStyle w:val="TextBody"/>
        <w:bidi w:val="0"/>
        <w:spacing w:before="0" w:after="12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40"/>
        <w:jc w:val="both"/>
        <w:rPr>
          <w:rFonts w:ascii="Times New Roman;serif" w:hAnsi="Times New Roman;serif"/>
          <w:b/>
          <w:color w:val="000000"/>
          <w:sz w:val="20"/>
        </w:rPr>
      </w:pPr>
      <w:r>
        <w:rPr>
          <w:rFonts w:ascii="Times New Roman;serif" w:hAnsi="Times New Roman;serif"/>
          <w:b/>
          <w:color w:val="000000"/>
          <w:sz w:val="20"/>
        </w:rPr>
        <w:t>14. Assets Held for Sale</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Pending Sale of Maiden GF</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As discussed in </w:t>
      </w:r>
      <w:r>
        <w:rPr>
          <w:rFonts w:ascii="Times New Roman;serif" w:hAnsi="Times New Roman;serif"/>
          <w:b w:val="false"/>
          <w:i/>
          <w:color w:val="000000"/>
          <w:sz w:val="20"/>
        </w:rPr>
        <w:t>Note 1. Basis of Presentation</w:t>
      </w:r>
      <w:r>
        <w:rPr>
          <w:rFonts w:ascii="Times New Roman;serif" w:hAnsi="Times New Roman;serif"/>
          <w:b w:val="false"/>
          <w:color w:val="000000"/>
          <w:sz w:val="20"/>
        </w:rPr>
        <w:t>, on November 29, 2024, Maiden entered into an agreement to sell its Swedish subsidiary Maiden GF to a group of international insurance and reinsurance companies headquartered in the United Kingdom. Maiden GF was one of the principal operating subsidiaries of the Company’s IIS platform. Maiden has entered into an amended sale agreement for the acquisition of only Maiden GF at the previously agreed valuation. The proposed acquirer believes it will satisfactorily address deficiencies identified by the SFSA in its June 2025 decision. This amended transaction remains subject to customary regulatory approval. The sale will be an all-cash transaction and pursuant to the proposed terms of the agreement, certain existing staff of Maiden GF will transition to the proposed acquirer. Maiden GF is not writing any new business and its non-insurance related assets and liabilities are represented as held-for-sale in our Condensed Consolidated Balance Sheets.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proposed sale agreement, it is presently intended that any remaining historic business upon closing will be fully retroceded to Maiden Reinsurance thus there will be continuing involvement regarding the historical insurance operations. This transaction therefore met the relevant held for sale criteria at March 31, 2026 and accordingly, any non-insurance related assets and liabilities related to the sale consideration are classified as held-for-sale in the Condensed Consolidated Balance Sheets as at March 31, 2026 and December 31, 2025 The held-for-sale assets and liabilities and discontinued operations in the tables further below do not include any insurance related balances for Maiden GF.</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Under the accounting guidance in ASC Topic 205, a business that, upon acquisition, meets the held-for-sale criteria is not analyzed under the strategic shift test. Instead, it is reported in discontinued operations automatically based on its held-for-sale classification. The strategic shift test did not apply because the acquired businesses were not previously part of Kestrel Group who represents the acquiring entity and therefore Maiden GF operations are classified as held-for-sale on the acquisition date. As the condensed consolidated statement of operations included the operations of Maiden GF, adjustments to exclude the discontinued non-insurance activities of Maiden GF were made for the three months ended March 31, 2026. All underwriting related balances are excluded from held-for-sale assets and liabilities which consist of net insurance liabilities of $1,471 as at March 31, 2026 (December 31, 2025: $1,736).</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estimated the fair value of the net assets held-for-sale to be based on the estimated selling price less costs to sell and these assets are classified as Level 2 within the fair value hierarchy as of March 31, 2026. The assets and liabilities classified as held for sale on the Company's Condensed Consolidated Balance Sheets as at March 31, 2026 and December 31, 2025 include the following:</w:t>
      </w:r>
    </w:p>
    <w:tbl>
      <w:tblPr>
        <w:tblW w:w="6719" w:type="dxa"/>
        <w:jc w:val="left"/>
        <w:tblInd w:w="0" w:type="dxa"/>
        <w:tblLayout w:type="fixed"/>
        <w:tblCellMar>
          <w:top w:w="28" w:type="dxa"/>
          <w:left w:w="28" w:type="dxa"/>
          <w:bottom w:w="28" w:type="dxa"/>
          <w:right w:w="28" w:type="dxa"/>
        </w:tblCellMar>
      </w:tblPr>
      <w:tblGrid>
        <w:gridCol w:w="1443"/>
        <w:gridCol w:w="1267"/>
        <w:gridCol w:w="1279"/>
        <w:gridCol w:w="109"/>
        <w:gridCol w:w="109"/>
        <w:gridCol w:w="109"/>
        <w:gridCol w:w="211"/>
        <w:gridCol w:w="616"/>
        <w:gridCol w:w="109"/>
        <w:gridCol w:w="109"/>
        <w:gridCol w:w="109"/>
        <w:gridCol w:w="109"/>
        <w:gridCol w:w="245"/>
        <w:gridCol w:w="716"/>
        <w:gridCol w:w="179"/>
      </w:tblGrid>
      <w:tr>
        <w:trPr/>
        <w:tc>
          <w:tcPr>
            <w:tcW w:w="1443"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maturities, available-for-sale, at fair value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4,537 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4,630 </w:t>
            </w:r>
          </w:p>
        </w:tc>
        <w:tc>
          <w:tcPr>
            <w:tcW w:w="17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7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held for sale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8,930 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9,806 </w:t>
            </w:r>
          </w:p>
        </w:tc>
        <w:tc>
          <w:tcPr>
            <w:tcW w:w="17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7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major classes of items constituting the net loss of Maiden GF from discontinued operations for the three months ended March 31, 2026 presented in the Condensed Consolidated Statements of Operations:</w:t>
      </w:r>
    </w:p>
    <w:tbl>
      <w:tblPr>
        <w:tblW w:w="6575" w:type="dxa"/>
        <w:jc w:val="center"/>
        <w:tblInd w:w="0" w:type="dxa"/>
        <w:tblLayout w:type="fixed"/>
        <w:tblCellMar>
          <w:top w:w="28" w:type="dxa"/>
          <w:left w:w="28" w:type="dxa"/>
          <w:bottom w:w="28" w:type="dxa"/>
          <w:right w:w="28" w:type="dxa"/>
        </w:tblCellMar>
      </w:tblPr>
      <w:tblGrid>
        <w:gridCol w:w="1160"/>
        <w:gridCol w:w="1017"/>
        <w:gridCol w:w="1017"/>
        <w:gridCol w:w="488"/>
        <w:gridCol w:w="488"/>
        <w:gridCol w:w="488"/>
        <w:gridCol w:w="109"/>
        <w:gridCol w:w="109"/>
        <w:gridCol w:w="109"/>
        <w:gridCol w:w="466"/>
        <w:gridCol w:w="211"/>
        <w:gridCol w:w="541"/>
        <w:gridCol w:w="109"/>
        <w:gridCol w:w="109"/>
        <w:gridCol w:w="154"/>
      </w:tblGrid>
      <w:tr>
        <w:trPr/>
        <w:tc>
          <w:tcPr>
            <w:tcW w:w="1160"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6"/>
            <w:tcBorders/>
          </w:tcPr>
          <w:p>
            <w:pPr>
              <w:pStyle w:val="TableContents"/>
              <w:bidi w:val="0"/>
              <w:spacing w:before="0" w:after="283"/>
              <w:jc w:val="left"/>
              <w:rPr>
                <w:sz w:val="4"/>
                <w:szCs w:val="4"/>
              </w:rPr>
            </w:pPr>
            <w:r>
              <w:rPr>
                <w:sz w:val="4"/>
                <w:szCs w:val="4"/>
              </w:rPr>
            </w:r>
          </w:p>
        </w:tc>
      </w:tr>
      <w:tr>
        <w:trPr/>
        <w:tc>
          <w:tcPr>
            <w:tcW w:w="46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464"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and other losses</w:t>
            </w:r>
          </w:p>
        </w:tc>
        <w:tc>
          <w:tcPr>
            <w:tcW w:w="146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w:t>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00" w:after="120"/>
        <w:ind w:left="0" w:right="0" w:firstLine="270"/>
        <w:jc w:val="both"/>
        <w:rPr/>
      </w:pPr>
      <w:r>
        <w:rPr>
          <w:rFonts w:ascii="Times New Roman;serif" w:hAnsi="Times New Roman;serif"/>
          <w:b w:val="false"/>
          <w:color w:val="000000"/>
          <w:sz w:val="20"/>
        </w:rPr>
        <w:t xml:space="preserve">As discussed in </w:t>
      </w:r>
      <w:r>
        <w:rPr>
          <w:rFonts w:ascii="Times New Roman;serif" w:hAnsi="Times New Roman;serif"/>
          <w:b w:val="false"/>
          <w:i/>
          <w:color w:val="000000"/>
          <w:sz w:val="20"/>
        </w:rPr>
        <w:t>Note 1. Basis of Presentation</w:t>
      </w:r>
      <w:r>
        <w:rPr>
          <w:rFonts w:ascii="Times New Roman;serif" w:hAnsi="Times New Roman;serif"/>
          <w:b w:val="false"/>
          <w:color w:val="000000"/>
          <w:sz w:val="20"/>
        </w:rPr>
        <w:t>, in the wake of the June 2025 decision of the SFSA, management has further evaluated strategic alternatives for Maiden LF and on April 7, 2026, the Company decided to proceed with the managed run-off of Maiden LF. The held-for-sale assets and liabilities of Maiden LF at December 31, 2025 were reclassified as held and used in light of the recent decision to place Maiden LF into run off operations. The net loss from discontinued operations for the three months ended March 31, 2026 would have been $437 had Maiden LF remained held-for-sale.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15. Business Combination</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May 27, 2025, Kestrel LLC completed the business combination with Maiden, pursuant to the terms of the Combination Agreement. The equityholders of Kestrel LLC at the closing date received an aggregate of $40,000 in upfront cash and 2,749,996 common shares of the combined company. In addition, the former equityholders of Kestrel LLC remain entitled to receive contingent consideration up to the lesser of (x) $45,000 payable in common shares of Kestrel Group upon the achievement of certain financial milestones, and (y) 2,750,000 common shares of Kestrel Group. After the closing of the Combination Agreement, the group was rebranded as Kestrel Group and is the successor company to Maiden. The Company’s authorized share capital consists of 42,500,000 shares.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Combination was accounted for as a business combination in accordance with ASC 805, which requires assets acquired and liabilities assumed to be measured at their acquisition date fair value. The Company also adopted ASU 2021-08, effective as of January 1, 2025, to record contract liabilities at their carrying value as of the acquisition date. Although Maiden was the legal acquirer, Kestrel LLC was determined to be the accounting acquirer and the legal acquiree. As a result, Kestrel LLC and its subsidiaries’ net assets were carried at historical value, acquired net assets of Maiden and its subsidiaries were measured at fair value except contract liabilities being recorded at carrying value at the acquisition date, and results of operations of Maiden and its subsidiaries were included in the Company’s Condensed Consolidated Financial Statements from May 27, 2025.</w:t>
      </w:r>
    </w:p>
    <w:p>
      <w:pPr>
        <w:pStyle w:val="TextBody"/>
        <w:bidi w:val="0"/>
        <w:spacing w:lineRule="auto" w:line="216" w:before="0" w:after="120"/>
        <w:jc w:val="both"/>
        <w:rPr>
          <w:rFonts w:ascii="Times New Roman;serif" w:hAnsi="Times New Roman;serif"/>
          <w:b/>
          <w:color w:val="000000"/>
          <w:sz w:val="20"/>
        </w:rPr>
      </w:pPr>
      <w:r>
        <w:rPr>
          <w:rFonts w:ascii="Times New Roman;serif" w:hAnsi="Times New Roman;serif"/>
          <w:b/>
          <w:color w:val="000000"/>
          <w:sz w:val="20"/>
        </w:rPr>
        <w:t>Purchase Price and Purchase Price Allocation</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Management performed a fair valuation of Maiden and its subsidiaries' assets and liabilities as of May 27, 2025. The fair values of the assets and liabilities acquired were based on discussions with Maiden’s management, valuation studies, the transaction due diligence, and information presented in Maiden’s SEC filings. The final purchase price and purchase price allocation herein may be different than the information previously filed with the SEC, and such differences could be material.</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Purchase Price</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final purchase price was based on the fair value of the issued and outstanding common shares at the closing of the Combination on May 27, 2025. The following table summarizes the final purchase price as of May 27, 2025:</w:t>
      </w:r>
    </w:p>
    <w:p>
      <w:pPr>
        <w:pStyle w:val="TextBody"/>
        <w:bidi w:val="0"/>
        <w:spacing w:before="0" w:after="0"/>
        <w:jc w:val="left"/>
        <w:rPr/>
      </w:pPr>
      <w:r>
        <w:rPr/>
      </w:r>
    </w:p>
    <w:tbl>
      <w:tblPr>
        <w:tblW w:w="8656" w:type="dxa"/>
        <w:jc w:val="left"/>
        <w:tblInd w:w="0" w:type="dxa"/>
        <w:tblLayout w:type="fixed"/>
        <w:tblCellMar>
          <w:top w:w="28" w:type="dxa"/>
          <w:left w:w="28" w:type="dxa"/>
          <w:bottom w:w="28" w:type="dxa"/>
          <w:right w:w="28" w:type="dxa"/>
        </w:tblCellMar>
      </w:tblPr>
      <w:tblGrid>
        <w:gridCol w:w="2576"/>
        <w:gridCol w:w="2269"/>
        <w:gridCol w:w="2280"/>
        <w:gridCol w:w="109"/>
        <w:gridCol w:w="109"/>
        <w:gridCol w:w="109"/>
        <w:gridCol w:w="213"/>
        <w:gridCol w:w="837"/>
        <w:gridCol w:w="154"/>
      </w:tblGrid>
      <w:tr>
        <w:trPr/>
        <w:tc>
          <w:tcPr>
            <w:tcW w:w="2576"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Kestrel Group Ltd shares issued at Closing</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7,221,621 </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Kestrel Group Ltd share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equity portion of consideration transferred at Closing</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166,097 </w:t>
            </w:r>
          </w:p>
        </w:tc>
        <w:tc>
          <w:tcPr>
            <w:tcW w:w="154"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Kestrel Group Ltd shares retained as treasury shares by Maiden Reinsurance at Closing</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(2,237,534)</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Kestrel Group Ltd share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portion of consideration transferred to Maiden Reinsurance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(51,463)</w:t>
            </w:r>
          </w:p>
        </w:tc>
        <w:tc>
          <w:tcPr>
            <w:tcW w:w="154"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equity portion of consideration transferred at Closing</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114,634 </w:t>
            </w:r>
          </w:p>
        </w:tc>
        <w:tc>
          <w:tcPr>
            <w:tcW w:w="154" w:type="dxa"/>
            <w:tcBorders/>
            <w:shd w:fill="CD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 paid to shareholders at Closing for fractional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Portion of the Maiden awards attributable to pre-combination service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Intercompany settlement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12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consideration effectively transferred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115,537 </w:t>
            </w:r>
          </w:p>
        </w:tc>
        <w:tc>
          <w:tcPr>
            <w:tcW w:w="154"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At the closing date on May 27, 2025, the fair value of Maiden's net assets acquired were $183,843 which exceeded the consideration effectively transferred of $115,537, resulting in a bargain purchase gain of $68,306 as shown in the table on the next page. This gain was recognized immediately in the Consolidated Statement of Operations for Kestrel in the year ended December 31, 2025.</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As discussed in </w:t>
      </w:r>
      <w:r>
        <w:rPr>
          <w:rFonts w:ascii="Times New Roman;serif" w:hAnsi="Times New Roman;serif"/>
          <w:b w:val="false"/>
          <w:i/>
          <w:color w:val="000000"/>
          <w:sz w:val="20"/>
        </w:rPr>
        <w:t>Note 11. Commitments, Contingencies and Guarantees</w:t>
      </w:r>
      <w:r>
        <w:rPr>
          <w:rFonts w:ascii="Times New Roman;serif" w:hAnsi="Times New Roman;serif"/>
          <w:b w:val="false"/>
          <w:color w:val="000000"/>
          <w:sz w:val="20"/>
        </w:rPr>
        <w:t>, Kestrel Equityholders are entitled to receive in contingent consideration up to the lesser of (x) an aggregate number of Kestrel Group common shares equal to $45,000 divided by certain volume weighted average prices of such shares, subject to the achievement of certain EBITDA milestones by the businesses that Kestrel conducted immediately prior to closing and any extensions of such businesses or related or ancillary businesses existing thereafter, subject to other terms and conditions as set forth in the combination agreement and (y) 2,750,000 common shares of Kestrel Group. On March 31, 2026, the fair value of this contingent consideration was $0 as business subject to the earn out consideration computation continues to be re-evaluated based upon current estimates of the Kestrel business for the Performance Period, including performance of the Program Services business through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15. Business Combination (continued)</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Final Purchase Price Allocation</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final allocation of the purchase price to the assets acquired and liabilities assumed as of May 27, 2025:</w:t>
      </w:r>
    </w:p>
    <w:tbl>
      <w:tblPr>
        <w:tblW w:w="5507" w:type="dxa"/>
        <w:jc w:val="left"/>
        <w:tblInd w:w="0" w:type="dxa"/>
        <w:tblLayout w:type="fixed"/>
        <w:tblCellMar>
          <w:top w:w="28" w:type="dxa"/>
          <w:left w:w="28" w:type="dxa"/>
          <w:bottom w:w="28" w:type="dxa"/>
          <w:right w:w="28" w:type="dxa"/>
        </w:tblCellMar>
      </w:tblPr>
      <w:tblGrid>
        <w:gridCol w:w="1443"/>
        <w:gridCol w:w="1271"/>
        <w:gridCol w:w="1275"/>
        <w:gridCol w:w="109"/>
        <w:gridCol w:w="109"/>
        <w:gridCol w:w="109"/>
        <w:gridCol w:w="211"/>
        <w:gridCol w:w="826"/>
        <w:gridCol w:w="154"/>
      </w:tblGrid>
      <w:tr>
        <w:trPr/>
        <w:tc>
          <w:tcPr>
            <w:tcW w:w="1443"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maturities, available-for-sale, at fair value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208,855 </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32,326 </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160,439 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98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Cash and cash equivalents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68,358 </w:t>
            </w:r>
          </w:p>
        </w:tc>
        <w:tc>
          <w:tcPr>
            <w:tcW w:w="154" w:type="dxa"/>
            <w:tcBorders/>
            <w:shd w:fill="CD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98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Accrued investment income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4,108 </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Reinsurance balances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Reinsurance recoverable on unpaid losses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517,028 </w:t>
            </w:r>
          </w:p>
        </w:tc>
        <w:tc>
          <w:tcPr>
            <w:tcW w:w="154" w:type="dxa"/>
            <w:tcBorders/>
            <w:shd w:fill="CD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loan receivable from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11,864 </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Funds withheld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98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assets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14,592 </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loss and loss adjustment expenses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(738,137)</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Unearned premiums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(68,453)</w:t>
            </w:r>
          </w:p>
        </w:tc>
        <w:tc>
          <w:tcPr>
            <w:tcW w:w="154" w:type="dxa"/>
            <w:tcBorders/>
            <w:shd w:fill="CD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Senior notes -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held for sale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w:t>
            </w:r>
          </w:p>
        </w:tc>
        <w:tc>
          <w:tcPr>
            <w:tcW w:w="154" w:type="dxa"/>
            <w:tcBorders/>
            <w:shd w:fill="CDFFC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Bargain purchase gain</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(68,306)</w:t>
            </w:r>
          </w:p>
        </w:tc>
        <w:tc>
          <w:tcPr>
            <w:tcW w:w="154" w:type="dxa"/>
            <w:tcBorders/>
            <w:shd w:fill="CD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consideration effectively transferred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115,537 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6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connection with the Combination on May 27, 2025, the assets and liabilities of Maiden were recorded at fair value measured as of the acquisition date. Therefore, the net reserves for losses and LAE were remeasured at fair value, and based on discounted cash flow valuation techniques, a discount to net loss reserves was required which was recorded in intangible assets. At the closing date of May 27, 2025, the intangible assets acquired also consist of the value of business acquired ("VOBA"). The following table presents the weighted average amortization period and other components of intangible assets acquired at May 27, 2025 and March 31, 2026. Accumulated amortization for the intangible assets was $3,355 at March 31, 2026:</w:t>
      </w:r>
    </w:p>
    <w:tbl>
      <w:tblPr>
        <w:tblW w:w="10205" w:type="dxa"/>
        <w:jc w:val="left"/>
        <w:tblInd w:w="0" w:type="dxa"/>
        <w:tblLayout w:type="fixed"/>
        <w:tblCellMar>
          <w:top w:w="28" w:type="dxa"/>
          <w:left w:w="28" w:type="dxa"/>
          <w:bottom w:w="28" w:type="dxa"/>
          <w:right w:w="28" w:type="dxa"/>
        </w:tblCellMar>
      </w:tblPr>
      <w:tblGrid>
        <w:gridCol w:w="837"/>
        <w:gridCol w:w="678"/>
        <w:gridCol w:w="682"/>
        <w:gridCol w:w="109"/>
        <w:gridCol w:w="109"/>
        <w:gridCol w:w="109"/>
        <w:gridCol w:w="642"/>
        <w:gridCol w:w="642"/>
        <w:gridCol w:w="644"/>
        <w:gridCol w:w="109"/>
        <w:gridCol w:w="109"/>
        <w:gridCol w:w="109"/>
        <w:gridCol w:w="217"/>
        <w:gridCol w:w="742"/>
        <w:gridCol w:w="112"/>
        <w:gridCol w:w="109"/>
        <w:gridCol w:w="109"/>
        <w:gridCol w:w="109"/>
        <w:gridCol w:w="472"/>
        <w:gridCol w:w="1416"/>
        <w:gridCol w:w="246"/>
        <w:gridCol w:w="109"/>
        <w:gridCol w:w="109"/>
        <w:gridCol w:w="109"/>
        <w:gridCol w:w="243"/>
        <w:gridCol w:w="710"/>
        <w:gridCol w:w="125"/>
        <w:gridCol w:w="109"/>
        <w:gridCol w:w="109"/>
        <w:gridCol w:w="109"/>
        <w:gridCol w:w="162"/>
      </w:tblGrid>
      <w:tr>
        <w:trPr/>
        <w:tc>
          <w:tcPr>
            <w:tcW w:w="837"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Amortization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May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Amortization at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35"/>
              <w:jc w:val="left"/>
              <w:rPr>
                <w:sz w:val="4"/>
                <w:szCs w:val="4"/>
              </w:rPr>
            </w:pPr>
            <w:r>
              <w:rPr>
                <w:sz w:val="4"/>
                <w:szCs w:val="4"/>
              </w:rPr>
            </w:r>
          </w:p>
        </w:tc>
      </w:tr>
      <w:tr>
        <w:trPr/>
        <w:tc>
          <w:tcPr>
            <w:tcW w:w="2197"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Value of Business Acquired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 years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2,207 </w:t>
            </w:r>
          </w:p>
        </w:tc>
        <w:tc>
          <w:tcPr>
            <w:tcW w:w="11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w:t>
            </w:r>
          </w:p>
        </w:tc>
        <w:tc>
          <w:tcPr>
            <w:tcW w:w="24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1,588 </w:t>
            </w:r>
          </w:p>
        </w:tc>
        <w:tc>
          <w:tcPr>
            <w:tcW w:w="12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35"/>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Fair value discount on net reserves acquired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7"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Intangible Assets </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27.3 years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11,864 </w:t>
            </w:r>
          </w:p>
        </w:tc>
        <w:tc>
          <w:tcPr>
            <w:tcW w:w="112"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(3,355)</w:t>
            </w:r>
          </w:p>
        </w:tc>
        <w:tc>
          <w:tcPr>
            <w:tcW w:w="24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8,509 </w:t>
            </w:r>
          </w:p>
        </w:tc>
        <w:tc>
          <w:tcPr>
            <w:tcW w:w="12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aggregate amortization expense for intangible assets was $838 for the three months ended March 31, 2026, including $799 of amortization for the fair value on net reserves acquired reported in general and administrative expenses and $39 of amortization on the fair value of business acquired reported in commission and other acquisition expenses (2025 - $0). The following table presents the estimated aggregate amortization expense for the five succeeding fiscal years on intangible assets held at March 31, 2026:</w:t>
      </w:r>
    </w:p>
    <w:tbl>
      <w:tblPr>
        <w:tblW w:w="10205" w:type="dxa"/>
        <w:jc w:val="left"/>
        <w:tblInd w:w="0" w:type="dxa"/>
        <w:tblLayout w:type="fixed"/>
        <w:tblCellMar>
          <w:top w:w="28" w:type="dxa"/>
          <w:left w:w="28" w:type="dxa"/>
          <w:bottom w:w="28" w:type="dxa"/>
          <w:right w:w="28" w:type="dxa"/>
        </w:tblCellMar>
      </w:tblPr>
      <w:tblGrid>
        <w:gridCol w:w="1297"/>
        <w:gridCol w:w="1127"/>
        <w:gridCol w:w="1133"/>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156"/>
      </w:tblGrid>
      <w:tr>
        <w:trPr/>
        <w:tc>
          <w:tcPr>
            <w:tcW w:w="1297"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57"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57"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 VOBA</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 fair value discount on net reserves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57"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amortization expense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40" w:before="20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The following discussion and analysis of our financial condition and results of operations should be read in conjunction with our unaudited Condensed Consolidated Financial Statements and related notes included elsewhere in this Quarterly Report on Form 10-Q (this "Form 10-Q" or this "Report"). References in this Form 10-Q to the terms "we", "us", "our", "the Company", "Kestrel" or other similar terms mean the consolidated operations of Kestrel Group Ltd and its subsidiaries, unless the context requires otherwise. References in this Form 10-Q to the term "Kestrel Group" means Kestrel Group Ltd only.</w:t>
      </w:r>
      <w:r>
        <w:rPr>
          <w:color w:val="000000"/>
        </w:rPr>
        <w:t xml:space="preserve"> </w:t>
      </w:r>
      <w:r>
        <w:rPr>
          <w:rFonts w:ascii="Times New Roman;serif" w:hAnsi="Times New Roman;serif"/>
          <w:b w:val="false"/>
          <w:i/>
          <w:color w:val="000000"/>
          <w:sz w:val="20"/>
        </w:rPr>
        <w:t>Certain reclassifications have been made for 2025 to conform to the 2026 presentation and have no impact on consolidated net income and total equity previously reported.</w:t>
      </w:r>
    </w:p>
    <w:p>
      <w:pPr>
        <w:pStyle w:val="TextBody"/>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Note on Forward-Looking Statements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includes anticipated benefits of the business combination and integration of Maiden Holdings Ltd. and Kestrel Group LLC, projections concerning financial information and statements concerning future economic performance and events, plans and objectives relating to management, operations, products and services, and assumptions underlying these projections and statements. These projections and statements are forward-looking statements within the meaning of The Private Securities Litigation Reform Act of 1995 and are not historical facts but instead represent only our belief regarding future events, many of which, by their nature, are inherently uncertain and outside our control. These projections and statements may address, among other things, our strategy for growth, product development, financial results and reserves. Our actual results and financial condition may differ, possibly materially, from these projections and statements and therefore you should not place undue reliance on them. </w:t>
      </w:r>
    </w:p>
    <w:p>
      <w:pPr>
        <w:pStyle w:val="TextBody"/>
        <w:bidi w:val="0"/>
        <w:spacing w:lineRule="auto" w:line="240" w:before="0" w:after="120"/>
        <w:ind w:left="0" w:right="0" w:firstLine="270"/>
        <w:jc w:val="both"/>
        <w:rPr/>
      </w:pPr>
      <w:r>
        <w:rPr>
          <w:rFonts w:ascii="Times New Roman;serif" w:hAnsi="Times New Roman;serif"/>
          <w:b w:val="false"/>
          <w:color w:val="000000"/>
          <w:sz w:val="20"/>
        </w:rPr>
        <w:t>Factors that could cause our actual results and financial condition to differ, possibly materially, from those in the specific projections and statements are discussed throughout the Management's Discussion and Analysis of Financial Condition and Results of Operations and in</w:t>
      </w:r>
      <w:r>
        <w:rPr>
          <w:color w:val="000000"/>
        </w:rPr>
        <w:t xml:space="preserve"> </w:t>
      </w:r>
      <w:r>
        <w:rPr>
          <w:rFonts w:ascii="Times New Roman;serif" w:hAnsi="Times New Roman;serif"/>
          <w:b w:val="false"/>
          <w:i/>
          <w:color w:val="000000"/>
          <w:sz w:val="20"/>
        </w:rPr>
        <w:t xml:space="preserve">"Risk Factors" </w:t>
      </w:r>
      <w:r>
        <w:rPr>
          <w:rFonts w:ascii="Times New Roman;serif" w:hAnsi="Times New Roman;serif"/>
          <w:b w:val="false"/>
          <w:color w:val="000000"/>
          <w:sz w:val="20"/>
        </w:rPr>
        <w:t>in Item 1A. of Part I of our Annual Report on Form 10-K for the year ended December 31, 2025 that was filed with the U.S. Securities and Exchange Commission ("SEC") on March 13, 2026, however, those factors should not be construed as exhaustive. Forward-looking statements speak only as of the date they are made and we undertake no obligation to update or revise any forward-looking statement that may be made from time to time, whether as a result of new information, future developments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40" w:before="200" w:after="12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Introductory Note</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May 27, 2025, Kestrel Group LLC (“Kestrel LLC”) and Maiden Holdings, Ltd. (“Maiden”) completed their previously announced combination ("Combination"), forming a new, publicly listed specialty program group operating under the name Kestrel Group Ltd (“Kestrel Group” or "Parent Company"). Maiden shares ceased trading on the NASDAQ Capital Market ("Nasdaq") at close of market on May 27, 2025. Kestrel Group shares began trading on the Nasdaq at open of market on May 28, 2025 under the ticker symbol “KG”. Upon the closing of the Transactions (the “Closing”), Maiden and Kestrel LLC are now wholly owned subsidiaries of the Company, which was rebranded as Kestrel Group and renamed “Kestrel Group Ltd” ("Kestrel" or the "Company").</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Combination creates a capital light, fee-based insurance platform with the ability to selectively deploy underwriting capacity to optimize shareholder returns, with a commitment to innovation, client service and long-term relationships. </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Kestrel specializes in providing fronting services to insurance program managers, managing general agencies (MGAs), reinsurers, and reinsurance brokers. Kestrel facilitates insurance transactions utilizing its exclusive management contracts with four insurance carriers, all of which are rated A- “Excellent” by A.M. Best. These contracts enable Kestrel to offer both admitted and surplus lines in all U.S. states. Kestrel LLC generally does not assume significant underwriting risk and produces lines of business such as casualty, workers’ compensation, catastrophe-exposed property, and non-catastrophe-exposed property, with diverse risk durations, sizes, and product types.</w:t>
      </w:r>
    </w:p>
    <w:p>
      <w:pPr>
        <w:pStyle w:val="TextBody"/>
        <w:bidi w:val="0"/>
        <w:spacing w:lineRule="auto" w:line="240" w:before="60" w:after="120"/>
        <w:ind w:left="0" w:right="0" w:firstLine="270"/>
        <w:jc w:val="both"/>
        <w:rPr/>
      </w:pPr>
      <w:r>
        <w:rPr>
          <w:rFonts w:ascii="Times New Roman;serif" w:hAnsi="Times New Roman;serif"/>
          <w:b w:val="false"/>
          <w:color w:val="000000"/>
          <w:sz w:val="20"/>
        </w:rPr>
        <w:t xml:space="preserve">Kestrel continues to write business through its exclusive use of A.M. Best A- FSC XV insurance carriers Sierra Specialty Insurance Company, Rochdale Insurance Company, Park National Insurance Company and Republic Fire and Casualty Insurance Company (collectively, “AmTrust Insurance Companies”), all subsidiaries of AmTrust Financial Services, Inc. (“AmTrust”). Kestrel currently retains an option to acquire the AmTrust Insurance Companies for a period of up to three years after closing from AmTrust. AmTrust is a significant shareholder of Kestrel. Please see </w:t>
      </w:r>
      <w:r>
        <w:rPr>
          <w:rFonts w:ascii="Times New Roman;serif" w:hAnsi="Times New Roman;serif"/>
          <w:b w:val="false"/>
          <w:i/>
          <w:color w:val="000000"/>
          <w:sz w:val="20"/>
        </w:rPr>
        <w:t>Note 10. Related Party Transactions</w:t>
      </w:r>
      <w:r>
        <w:rPr>
          <w:color w:val="000000"/>
        </w:rPr>
        <w:t xml:space="preserve"> </w:t>
      </w:r>
      <w:r>
        <w:rPr>
          <w:rFonts w:ascii="Times New Roman;serif" w:hAnsi="Times New Roman;serif"/>
          <w:b w:val="false"/>
          <w:color w:val="000000"/>
          <w:sz w:val="20"/>
        </w:rPr>
        <w:t xml:space="preserve">for further information regarding the Company's relationship with AmTrust.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of March 31, 2026, Maiden Reinsurance Ltd. ("Maiden Reinsurance") owns 22.1% of the Company's total issued and outstanding common shares which is eliminated for accounting and financial reporting purposes on the Company's condensed consolidated financial statements. On April 29, 2025, former Maiden shareholders approved the proposal to remove the 9.5% voting limitation at the Company's special general meeting of its shareholders (the "Special Meeting"). The ownership of common shares by Maiden Reinsurance was made in compliance with Maiden Reinsurance's investment policy and approved by the Vermont Department of Financial Regulation ("Vermont DFR").</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Current Operations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consists of two reportable segments: Program Services and Legacy Reinsurance. </w:t>
      </w:r>
    </w:p>
    <w:p>
      <w:pPr>
        <w:pStyle w:val="TextBody"/>
        <w:bidi w:val="0"/>
        <w:spacing w:lineRule="auto" w:line="240" w:before="0" w:after="120"/>
        <w:ind w:left="0" w:right="0" w:firstLine="270"/>
        <w:jc w:val="both"/>
        <w:rPr/>
      </w:pPr>
      <w:r>
        <w:rPr>
          <w:rFonts w:ascii="Times New Roman;serif" w:hAnsi="Times New Roman;serif"/>
          <w:b w:val="false"/>
          <w:color w:val="000000"/>
          <w:sz w:val="20"/>
        </w:rPr>
        <w:t>Our Program Services segment consists of a cohesive suite of products and services offered by Kestrel that are integrated and interdependent. Kestrel’s revenue is highly concentrated because of the capacity distribution agreements with an individual customer. Capacity distribution fees are collected from program managers or MGAs for providing support services and granting contractual access to our insurance carrier network and are considered a single performance obligation. Support services provided for these insurance and reinsurance brokerage arrangements include compliance and regulatory reporting and administrative support which culminate in the placement of bound insurance coverage. Kestrel considers these arrangements a single revenue stream</w:t>
      </w:r>
      <w:r>
        <w:rPr>
          <w:rFonts w:ascii="Times New Roman;serif" w:hAnsi="Times New Roman;serif"/>
          <w:b w:val="false"/>
          <w:i/>
          <w:color w:val="000000"/>
          <w:sz w:val="20"/>
        </w:rPr>
        <w:t xml:space="preserve">.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Legacy Reinsurance segment consists of primarily reinsurance business previously produced by Maiden, which had been segregated into two reportable segments: AmTrust Reinsurance and Diversified Reinsurance. Business formerly classified in the AmTrust Reinsurance segment is now described as "AmTrust Reinsurance Legacy Business" while business formerly classified in the Diversified Reinsurance segment is referred to as "Diversified Reinsurance Legacy Business" within this new segment.</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AmTrust Reinsurance Legacy Business includes all business ceded to Maiden Reinsurance by AmTrust, primarily the quota share reinsurance agreement (“AmTrust Quota Share”) between Maiden Reinsurance and AmTrust’s wholly owned subsidiary, AmTrust International Insurance, Ltd. (“AII”) and the European hospital liability quota share reinsurance contract ("European Hospital Liability Quota Share") with AmTrust’s wholly owned subsidiaries, AEL and AIU DAC, both of which are in run-off effective as of January 1, 2019, as discussed in </w:t>
      </w:r>
      <w:r>
        <w:rPr>
          <w:rFonts w:ascii="Times New Roman;serif" w:hAnsi="Times New Roman;serif"/>
          <w:b w:val="false"/>
          <w:i/>
          <w:color w:val="000000"/>
          <w:sz w:val="20"/>
        </w:rPr>
        <w:t>Note 10. Related Party Transactions</w:t>
      </w:r>
      <w:r>
        <w:rPr>
          <w:color w:val="000000"/>
        </w:rPr>
        <w:t xml:space="preserve"> </w:t>
      </w:r>
      <w:r>
        <w:rPr>
          <w:rFonts w:ascii="Times New Roman;serif" w:hAnsi="Times New Roman;serif"/>
          <w:b w:val="false"/>
          <w:color w:val="000000"/>
          <w:sz w:val="20"/>
        </w:rPr>
        <w:t xml:space="preserve">of the Notes to Condensed Consolidated Financial Statements included in Part I Item 1. </w:t>
      </w:r>
      <w:r>
        <w:rPr>
          <w:rFonts w:ascii="Times New Roman;serif" w:hAnsi="Times New Roman;serif"/>
          <w:b w:val="false"/>
          <w:i/>
          <w:color w:val="000000"/>
          <w:sz w:val="20"/>
        </w:rPr>
        <w:t>"Financial Information"</w:t>
      </w:r>
      <w:r>
        <w:rPr>
          <w:rFonts w:ascii="Times New Roman;serif" w:hAnsi="Times New Roman;serif"/>
          <w:b w:val="false"/>
          <w:color w:val="000000"/>
          <w:sz w:val="20"/>
        </w:rPr>
        <w:t xml:space="preserve">. In addition, the Company has a retroactive reinsurance agreement and a commutation agreement that further reduces its exposure and limits the potential volatility related to AmTrust liabilities, which are discussed in </w:t>
      </w:r>
      <w:r>
        <w:rPr>
          <w:rFonts w:ascii="Times New Roman;serif" w:hAnsi="Times New Roman;serif"/>
          <w:b w:val="false"/>
          <w:i/>
          <w:color w:val="000000"/>
          <w:sz w:val="20"/>
        </w:rPr>
        <w:t>Note 8. Reinsurance</w:t>
      </w:r>
      <w:r>
        <w:rPr>
          <w:color w:val="000000"/>
        </w:rPr>
        <w:t xml:space="preserve"> </w:t>
      </w:r>
      <w:r>
        <w:rPr>
          <w:rFonts w:ascii="Times New Roman;serif" w:hAnsi="Times New Roman;serif"/>
          <w:b w:val="false"/>
          <w:color w:val="000000"/>
          <w:sz w:val="20"/>
        </w:rPr>
        <w:t xml:space="preserve">of the Notes to Condensed Consolidated Financial Statements included in Part I Item 1. </w:t>
      </w:r>
      <w:r>
        <w:rPr>
          <w:rFonts w:ascii="Times New Roman;serif" w:hAnsi="Times New Roman;serif"/>
          <w:b w:val="false"/>
          <w:i/>
          <w:color w:val="000000"/>
          <w:sz w:val="20"/>
        </w:rPr>
        <w:t>"Financial Information"</w:t>
      </w:r>
      <w:r>
        <w:rPr>
          <w:rFonts w:ascii="Times New Roman;serif" w:hAnsi="Times New Roman;serif"/>
          <w:b w:val="false"/>
          <w:color w:val="000000"/>
          <w:sz w:val="20"/>
        </w:rPr>
        <w:t>.</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Diversified Reinsurance legacy business comprises a run-off portfolio of predominantly property and casualty reinsurance business focusing on regional and specialty property and casualty insurance companies located primarily in Europe, as well as transactions entered into by Genesis Legacy Solutions ("GLS") as described in </w:t>
      </w:r>
      <w:r>
        <w:rPr>
          <w:rFonts w:ascii="Times New Roman;serif" w:hAnsi="Times New Roman;serif"/>
          <w:b w:val="false"/>
          <w:i/>
          <w:color w:val="000000"/>
          <w:sz w:val="20"/>
        </w:rPr>
        <w:t xml:space="preserve">Note 1. Basis of Presentation </w:t>
      </w:r>
      <w:r>
        <w:rPr>
          <w:rFonts w:ascii="Times New Roman;serif" w:hAnsi="Times New Roman;serif"/>
          <w:b w:val="false"/>
          <w:color w:val="000000"/>
          <w:sz w:val="20"/>
        </w:rPr>
        <w:t xml:space="preserve">under </w:t>
      </w:r>
      <w:r>
        <w:rPr>
          <w:rFonts w:ascii="Times New Roman;serif" w:hAnsi="Times New Roman;serif"/>
          <w:b w:val="false"/>
          <w:i/>
          <w:color w:val="000000"/>
          <w:sz w:val="20"/>
        </w:rPr>
        <w:t xml:space="preserve">Legacy Reinsurance Operations.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does not presently underwrite prospective reinsurance risks but may consider selectively deploying underwriting capacity to optimize shareholder returns in support of the Company's Program Services operations.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Business Strategy</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strategic focus centers on growing the fee income component of our Program Services business, which will increase our earnings before interest, taxes, depreciation and amortization ("EBITDA") while effectively managing the continuing run-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40"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off of the legacy Maiden alternative asset and reinsurance portfolios. Our focus on growing our fee business may consider selectively deploying underwriting capacity to optimize shareholder returns in support of this business. </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continue to actively pursue with our existing partners reinsurance mechanisms that would selectively deploy the Company’s underwriting capacity and facilitate and accelerate the growth of our Program Services segment.</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believe this will create the greatest risk-adjusted shareholder returns in order to increase EBITDA and book value for our common shareholders, both near and long-term. Our assessment is that these areas of strategic focus would enhance our profitability through increased returns, which would also increase the likelihood of fully utilizing the significant net operating loss ("NOL") carryforwards, as described further below, which would increase both GAAP book value and create additional common shareholder value. The recognition of the deferred tax asset on our Condensed Consolidated Balance Sheet remains a leading priority for the Company to increase its GAAP book value.</w:t>
      </w:r>
    </w:p>
    <w:p>
      <w:pPr>
        <w:pStyle w:val="TextBody"/>
        <w:bidi w:val="0"/>
        <w:spacing w:lineRule="auto" w:line="240" w:before="0" w:after="120"/>
        <w:ind w:left="0" w:right="0" w:firstLine="270"/>
        <w:jc w:val="both"/>
        <w:rPr/>
      </w:pPr>
      <w:r>
        <w:rPr>
          <w:rFonts w:ascii="Times New Roman;serif" w:hAnsi="Times New Roman;serif"/>
          <w:b w:val="false"/>
          <w:color w:val="000000"/>
          <w:sz w:val="20"/>
          <w:shd w:fill="FFFFFF" w:val="clear"/>
        </w:rPr>
        <w:t>As a result of the Combination, as of March 31, 2026</w:t>
      </w:r>
      <w:r>
        <w:rPr>
          <w:rFonts w:ascii="Times New Roman;serif" w:hAnsi="Times New Roman;serif"/>
          <w:b w:val="false"/>
          <w:color w:val="000000"/>
          <w:sz w:val="20"/>
        </w:rPr>
        <w:t>, we hold $221.0 million in alternative investments which include equity securities, equity method investments and other investments in a wide variety of asset classes. Please refer to the</w:t>
      </w:r>
      <w:r>
        <w:rPr>
          <w:color w:val="000000"/>
        </w:rPr>
        <w:t xml:space="preserve"> </w:t>
      </w:r>
      <w:r>
        <w:rPr>
          <w:rFonts w:ascii="Times New Roman;serif" w:hAnsi="Times New Roman;serif"/>
          <w:b w:val="false"/>
          <w:i/>
          <w:color w:val="000000"/>
          <w:sz w:val="20"/>
        </w:rPr>
        <w:t>"Liquidity and Capital Resources"</w:t>
      </w:r>
      <w:r>
        <w:rPr>
          <w:color w:val="000000"/>
        </w:rPr>
        <w:t xml:space="preserve"> </w:t>
      </w:r>
      <w:r>
        <w:rPr>
          <w:rFonts w:ascii="Times New Roman;serif" w:hAnsi="Times New Roman;serif"/>
          <w:b w:val="false"/>
          <w:color w:val="000000"/>
          <w:sz w:val="20"/>
        </w:rPr>
        <w:t>section on "</w:t>
      </w:r>
      <w:r>
        <w:rPr>
          <w:rFonts w:ascii="Times New Roman;serif" w:hAnsi="Times New Roman;serif"/>
          <w:b w:val="false"/>
          <w:i/>
          <w:color w:val="000000"/>
          <w:sz w:val="20"/>
        </w:rPr>
        <w:t>Other Investments, Equity Method Investments and Equity Investments"</w:t>
      </w:r>
      <w:r>
        <w:rPr>
          <w:color w:val="000000"/>
        </w:rPr>
        <w:t xml:space="preserve"> </w:t>
      </w:r>
      <w:r>
        <w:rPr>
          <w:rFonts w:ascii="Times New Roman;serif" w:hAnsi="Times New Roman;serif"/>
          <w:b w:val="false"/>
          <w:color w:val="000000"/>
          <w:sz w:val="20"/>
        </w:rPr>
        <w:t xml:space="preserve">for further information on these alternative asset classes and a detailed discussion of their investment returns. Recent developments and trends in financial markets, particularly as regards private assets, indicate that it may take longer than expected to achieve those returns and we have factored that into future capital allocation decisions.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Prior to the Combination, Maiden had determined that this asset management strategy did not serve its longer-term strategic goals, which had shifted to a focus on developing or acquiring fee income oriented insurance operations and had ceased making commitments to these alternative asset classes and had begun to dispose of these investments. Subsequent to the Combination, we have continued to pursue this objective and seek to find appropriate opportunities to dispose of these assets and believe this is a high priority in support of focusing our efforts on growing our Program Services business.</w:t>
      </w:r>
    </w:p>
    <w:p>
      <w:pPr>
        <w:pStyle w:val="TextBody"/>
        <w:bidi w:val="0"/>
        <w:spacing w:lineRule="auto" w:line="240" w:before="0" w:after="120"/>
        <w:ind w:left="0" w:right="0" w:firstLine="27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Accordingly, we expect our alternative investment portfolio to be reduced in future periods as we believe it is critical to reposition our balance sheet and increase our liquidity in support of the current initiatives being pursued. We have not made, and do not expect to make any such new commitments to alternative investments at this time.</w:t>
      </w:r>
    </w:p>
    <w:p>
      <w:pPr>
        <w:pStyle w:val="TextBody"/>
        <w:bidi w:val="0"/>
        <w:spacing w:lineRule="auto" w:line="240" w:before="0" w:after="120"/>
        <w:ind w:left="0" w:right="0" w:firstLine="270"/>
        <w:jc w:val="both"/>
        <w:rPr/>
      </w:pPr>
      <w:r>
        <w:rPr>
          <w:rFonts w:ascii="Times New Roman;serif" w:hAnsi="Times New Roman;serif"/>
          <w:b w:val="false"/>
          <w:color w:val="000000"/>
          <w:sz w:val="20"/>
          <w:shd w:fill="FFFFFF" w:val="clear"/>
        </w:rPr>
        <w:t xml:space="preserve">While we believe that the Combination will increase the likelihood of achieving our stated objectives, there can be no assurance that the run-off of its insurance liabilities will run-off at levels that will allow us to achieve those goals. </w:t>
      </w:r>
      <w:r>
        <w:rPr>
          <w:rFonts w:ascii="Times New Roman;serif" w:hAnsi="Times New Roman;serif"/>
          <w:b w:val="false"/>
          <w:color w:val="000000"/>
          <w:sz w:val="20"/>
        </w:rPr>
        <w:t xml:space="preserve">As a result, we continue to pursue finality solutions to resolve the AmTrust liabilities not covered by the LPT/ADC Agreement, including through third-parties. There can be no guarantee that we will execute such finality solutions and these solutions could involve significant charges to execute and we are actively evaluating the potential costs and benefits of such solutions, to the extent they are available to the Company. </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NOL Carryforwards</w:t>
      </w:r>
    </w:p>
    <w:p>
      <w:pPr>
        <w:pStyle w:val="TextBody"/>
        <w:bidi w:val="0"/>
        <w:spacing w:lineRule="auto" w:line="240" w:before="0" w:after="120"/>
        <w:ind w:left="0" w:right="0" w:firstLine="270"/>
        <w:jc w:val="both"/>
        <w:rPr/>
      </w:pPr>
      <w:r>
        <w:rPr>
          <w:rFonts w:ascii="Times New Roman;serif" w:hAnsi="Times New Roman;serif"/>
          <w:b w:val="false"/>
          <w:color w:val="000000"/>
          <w:sz w:val="20"/>
        </w:rPr>
        <w:t>We believe the Combination and our ability to increase EBITDA will create opportunities to utilize Maiden's NOL carryforwards that totaled</w:t>
      </w:r>
      <w:r>
        <w:rPr>
          <w:color w:val="000000"/>
          <w:shd w:fill="FFFFFF" w:val="clear"/>
        </w:rPr>
        <w:t xml:space="preserve"> </w:t>
      </w:r>
      <w:r>
        <w:rPr>
          <w:rFonts w:ascii="Times New Roman;serif" w:hAnsi="Times New Roman;serif"/>
          <w:b w:val="false"/>
          <w:color w:val="000000"/>
          <w:sz w:val="20"/>
        </w:rPr>
        <w:t>$466.7 million</w:t>
      </w:r>
      <w:r>
        <w:rPr>
          <w:color w:val="000000"/>
          <w:shd w:fill="FFFFFF" w:val="clear"/>
        </w:rPr>
        <w:t xml:space="preserve"> </w:t>
      </w:r>
      <w:r>
        <w:rPr>
          <w:rFonts w:ascii="Times New Roman;serif" w:hAnsi="Times New Roman;serif"/>
          <w:b w:val="false"/>
          <w:color w:val="000000"/>
          <w:sz w:val="20"/>
          <w:shd w:fill="FFFFFF" w:val="clear"/>
        </w:rPr>
        <w:t xml:space="preserve">at March 31, 2026. </w:t>
      </w:r>
      <w:r>
        <w:rPr>
          <w:rFonts w:ascii="Times New Roman;serif" w:hAnsi="Times New Roman;serif"/>
          <w:b w:val="false"/>
          <w:color w:val="000000"/>
          <w:sz w:val="20"/>
        </w:rPr>
        <w:t xml:space="preserve">Approximately $387.6 million of NOL carryforwards expire in various years beginning in 2029. As of </w:t>
      </w:r>
      <w:r>
        <w:rPr>
          <w:rFonts w:ascii="Times New Roman;serif" w:hAnsi="Times New Roman;serif"/>
          <w:b w:val="false"/>
          <w:color w:val="000000"/>
          <w:sz w:val="20"/>
          <w:shd w:fill="FFFFFF" w:val="clear"/>
        </w:rPr>
        <w:t xml:space="preserve">March 31, 2026, </w:t>
      </w:r>
      <w:r>
        <w:rPr>
          <w:rFonts w:ascii="Times New Roman;serif" w:hAnsi="Times New Roman;serif"/>
          <w:b w:val="false"/>
          <w:color w:val="000000"/>
          <w:sz w:val="20"/>
        </w:rPr>
        <w:t>$79.1 million</w:t>
      </w:r>
      <w:r>
        <w:rPr>
          <w:color w:val="000000"/>
          <w:shd w:fill="FFFFFF" w:val="clear"/>
        </w:rPr>
        <w:t xml:space="preserve"> </w:t>
      </w:r>
      <w:r>
        <w:rPr>
          <w:rFonts w:ascii="Times New Roman;serif" w:hAnsi="Times New Roman;serif"/>
          <w:b w:val="false"/>
          <w:color w:val="000000"/>
          <w:sz w:val="20"/>
          <w:shd w:fill="FFFFFF" w:val="clear"/>
        </w:rPr>
        <w:t xml:space="preserve">or </w:t>
      </w:r>
      <w:r>
        <w:rPr>
          <w:rFonts w:ascii="Times New Roman;serif" w:hAnsi="Times New Roman;serif"/>
          <w:b w:val="false"/>
          <w:color w:val="000000"/>
          <w:sz w:val="20"/>
        </w:rPr>
        <w:t xml:space="preserve">16.9% of the Company's NOL carryforwards have no expiry date under the relevant U.S. tax law. </w:t>
      </w:r>
      <w:r>
        <w:rPr>
          <w:rFonts w:ascii="Times New Roman;serif" w:hAnsi="Times New Roman;serif"/>
          <w:b w:val="false"/>
          <w:color w:val="000000"/>
          <w:sz w:val="20"/>
          <w:shd w:fill="FFFFFF" w:val="clear"/>
        </w:rPr>
        <w:t xml:space="preserve">The NOL carryforwards combined with additional net deferred tax assets ("DTA") primarily related to Maiden's insurance liabilities result in net U.S. DTA (before valuation allowance) of </w:t>
      </w:r>
      <w:r>
        <w:rPr>
          <w:rFonts w:ascii="Times New Roman;serif" w:hAnsi="Times New Roman;serif"/>
          <w:b w:val="false"/>
          <w:color w:val="000000"/>
          <w:sz w:val="20"/>
        </w:rPr>
        <w:t>$138.7 million</w:t>
      </w:r>
      <w:r>
        <w:rPr>
          <w:color w:val="000000"/>
          <w:shd w:fill="FFFFFF" w:val="clear"/>
        </w:rPr>
        <w:t xml:space="preserve"> </w:t>
      </w:r>
      <w:r>
        <w:rPr>
          <w:rFonts w:ascii="Times New Roman;serif" w:hAnsi="Times New Roman;serif"/>
          <w:b w:val="false"/>
          <w:color w:val="000000"/>
          <w:sz w:val="20"/>
          <w:shd w:fill="FFFFFF" w:val="clear"/>
        </w:rPr>
        <w:t xml:space="preserve">or $17.73 per common share at March 31, 2026.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Maiden's net U.S. DTA of $138.7 million is not presently recognized on the Company's Condensed Consolidated Balance Sheets as a full valuation allowance is carried against it. Additionally, Kestrel's DTA of $11.0 million, which relates to tax basis intangibles, is not presently recognized on the Company's Condensed Consolidated Balance Sheets as a full valuation allowance is carried against it. At this time, the Company believes it is necessary to maintain a full valuation allowance against both net DTA balances as more evidence is needed regarding the utilization of these losses. As circumstances further develop, we will continuously evaluate the amount of the valuation allowance held against the net DTA.</w:t>
      </w:r>
    </w:p>
    <w:p>
      <w:pPr>
        <w:pStyle w:val="TextBody"/>
        <w:bidi w:val="0"/>
        <w:spacing w:lineRule="auto" w:line="240" w:before="0" w:after="180"/>
        <w:ind w:left="0" w:right="0" w:firstLine="270"/>
        <w:jc w:val="both"/>
        <w:rPr/>
      </w:pPr>
      <w:r>
        <w:rPr>
          <w:rFonts w:ascii="Times New Roman;serif" w:hAnsi="Times New Roman;serif"/>
          <w:b w:val="false"/>
          <w:color w:val="000000"/>
          <w:sz w:val="20"/>
        </w:rPr>
        <w:t xml:space="preserve">For further details on the NOL carryforwards, please see </w:t>
      </w:r>
      <w:r>
        <w:rPr>
          <w:rFonts w:ascii="Times New Roman;serif" w:hAnsi="Times New Roman;serif"/>
          <w:b w:val="false"/>
          <w:i/>
          <w:color w:val="000000"/>
          <w:sz w:val="20"/>
        </w:rPr>
        <w:t>Note 13. Income Taxes</w:t>
      </w:r>
      <w:r>
        <w:rPr>
          <w:color w:val="000000"/>
        </w:rPr>
        <w:t xml:space="preserve"> </w:t>
      </w:r>
      <w:r>
        <w:rPr>
          <w:rFonts w:ascii="Times New Roman;serif" w:hAnsi="Times New Roman;serif"/>
          <w:b w:val="false"/>
          <w:color w:val="000000"/>
          <w:sz w:val="20"/>
        </w:rPr>
        <w:t>included under Part 1 Item 1 "</w:t>
      </w:r>
      <w:r>
        <w:rPr>
          <w:rFonts w:ascii="Times New Roman;serif" w:hAnsi="Times New Roman;serif"/>
          <w:b w:val="false"/>
          <w:i/>
          <w:color w:val="000000"/>
          <w:sz w:val="20"/>
        </w:rPr>
        <w:t>Financial Information</w:t>
      </w:r>
      <w:r>
        <w:rPr>
          <w:rFonts w:ascii="Times New Roman;serif" w:hAnsi="Times New Roman;serif"/>
          <w:b w:val="false"/>
          <w:color w:val="000000"/>
          <w:sz w:val="20"/>
        </w:rPr>
        <w:t>" of the Quarterly Report on Form 10–Q for the three months ended March 31,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Three Months Ended March 31, 2026 and 2025 Financial Highlights</w:t>
      </w:r>
    </w:p>
    <w:tbl>
      <w:tblPr>
        <w:tblW w:w="10205" w:type="dxa"/>
        <w:jc w:val="left"/>
        <w:tblInd w:w="0" w:type="dxa"/>
        <w:tblLayout w:type="fixed"/>
        <w:tblCellMar>
          <w:top w:w="28" w:type="dxa"/>
          <w:left w:w="28" w:type="dxa"/>
          <w:bottom w:w="28" w:type="dxa"/>
          <w:right w:w="28" w:type="dxa"/>
        </w:tblCellMar>
      </w:tblPr>
      <w:tblGrid>
        <w:gridCol w:w="2126"/>
        <w:gridCol w:w="1839"/>
        <w:gridCol w:w="1854"/>
        <w:gridCol w:w="109"/>
        <w:gridCol w:w="109"/>
        <w:gridCol w:w="109"/>
        <w:gridCol w:w="211"/>
        <w:gridCol w:w="687"/>
        <w:gridCol w:w="271"/>
        <w:gridCol w:w="109"/>
        <w:gridCol w:w="109"/>
        <w:gridCol w:w="109"/>
        <w:gridCol w:w="211"/>
        <w:gridCol w:w="537"/>
        <w:gridCol w:w="271"/>
        <w:gridCol w:w="109"/>
        <w:gridCol w:w="109"/>
        <w:gridCol w:w="109"/>
        <w:gridCol w:w="211"/>
        <w:gridCol w:w="687"/>
        <w:gridCol w:w="319"/>
      </w:tblGrid>
      <w:tr>
        <w:trPr/>
        <w:tc>
          <w:tcPr>
            <w:tcW w:w="2126"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5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Summary Consolidated Statement of Income Data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9"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 thousands except per share data)</w:t>
            </w:r>
          </w:p>
        </w:tc>
      </w:tr>
      <w:tr>
        <w:trPr/>
        <w:tc>
          <w:tcPr>
            <w:tcW w:w="5819"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(6,953)</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(6,559)</w:t>
            </w:r>
          </w:p>
        </w:tc>
        <w:tc>
          <w:tcPr>
            <w:tcW w:w="31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(7,431)</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(7,037)</w:t>
            </w:r>
          </w:p>
        </w:tc>
        <w:tc>
          <w:tcPr>
            <w:tcW w:w="31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Basic and diluted loss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loss attributable to common shareholders</w:t>
            </w:r>
            <w:r>
              <w:rPr>
                <w:rFonts w:ascii="Times New Roman;serif" w:hAnsi="Times New Roman;serif"/>
                <w:b w:val="false"/>
                <w:color w:val="000000"/>
                <w:sz w:val="13"/>
              </w:rPr>
              <w:t>(2)</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w:t>
            </w:r>
          </w:p>
        </w:tc>
        <w:tc>
          <w:tcPr>
            <w:tcW w:w="31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3,157 </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3,157 </w:t>
            </w:r>
          </w:p>
        </w:tc>
        <w:tc>
          <w:tcPr>
            <w:tcW w:w="31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2,313 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Underwriting and fee (loss) income</w:t>
            </w:r>
            <w:r>
              <w:rPr>
                <w:rFonts w:ascii="Times New Roman;serif" w:hAnsi="Times New Roman;serif"/>
                <w:b w:val="false"/>
                <w:color w:val="000000"/>
                <w:sz w:val="13"/>
              </w:rPr>
              <w:t>(3)</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w:t>
            </w:r>
          </w:p>
        </w:tc>
        <w:tc>
          <w:tcPr>
            <w:tcW w:w="31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investment results</w:t>
            </w:r>
            <w:r>
              <w:rPr>
                <w:rFonts w:ascii="Times New Roman;serif" w:hAnsi="Times New Roman;serif"/>
                <w:b w:val="false"/>
                <w:color w:val="000000"/>
                <w:sz w:val="13"/>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3,881 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Non-GAAP measures: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Non-GAAP operating loss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(9,960)</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Non-GAAP basic and diluted operating loss per common share</w:t>
            </w:r>
            <w:r>
              <w:rPr>
                <w:rFonts w:ascii="Times New Roman;serif" w:hAnsi="Times New Roman;serif"/>
                <w:b w:val="false"/>
                <w:color w:val="000000"/>
                <w:sz w:val="13"/>
              </w:rPr>
              <w:t>(1)</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31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Annualized non-GAAP operating return on average shareholders' equity</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2890" w:type="dxa"/>
            <w:gridSpan w:val="12"/>
            <w:tcBorders/>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tbl>
      <w:tblPr>
        <w:tblW w:w="9235" w:type="dxa"/>
        <w:jc w:val="left"/>
        <w:tblInd w:w="0" w:type="dxa"/>
        <w:tblLayout w:type="fixed"/>
        <w:tblCellMar>
          <w:top w:w="28" w:type="dxa"/>
          <w:left w:w="28" w:type="dxa"/>
          <w:bottom w:w="28" w:type="dxa"/>
          <w:right w:w="28" w:type="dxa"/>
        </w:tblCellMar>
      </w:tblPr>
      <w:tblGrid>
        <w:gridCol w:w="1532"/>
        <w:gridCol w:w="1347"/>
        <w:gridCol w:w="1350"/>
        <w:gridCol w:w="109"/>
        <w:gridCol w:w="109"/>
        <w:gridCol w:w="109"/>
        <w:gridCol w:w="211"/>
        <w:gridCol w:w="826"/>
        <w:gridCol w:w="271"/>
        <w:gridCol w:w="109"/>
        <w:gridCol w:w="109"/>
        <w:gridCol w:w="109"/>
        <w:gridCol w:w="242"/>
        <w:gridCol w:w="947"/>
        <w:gridCol w:w="310"/>
        <w:gridCol w:w="109"/>
        <w:gridCol w:w="109"/>
        <w:gridCol w:w="109"/>
        <w:gridCol w:w="211"/>
        <w:gridCol w:w="691"/>
        <w:gridCol w:w="316"/>
      </w:tblGrid>
      <w:tr>
        <w:trPr/>
        <w:tc>
          <w:tcPr>
            <w:tcW w:w="1532"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Consolidated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 thousands except per share data)</w:t>
            </w:r>
          </w:p>
        </w:tc>
      </w:tr>
      <w:tr>
        <w:trPr/>
        <w:tc>
          <w:tcPr>
            <w:tcW w:w="4229"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investments and cash and cash equivalents</w:t>
            </w:r>
            <w:r>
              <w:rPr>
                <w:rFonts w:ascii="Times New Roman;serif" w:hAnsi="Times New Roman;serif"/>
                <w:b w:val="false"/>
                <w:color w:val="000000"/>
                <w:sz w:val="13"/>
              </w:rPr>
              <w:t>(4)</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401,548 </w:t>
            </w:r>
          </w:p>
        </w:tc>
        <w:tc>
          <w:tcPr>
            <w:tcW w:w="27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408,299 </w:t>
            </w:r>
          </w:p>
        </w:tc>
        <w:tc>
          <w:tcPr>
            <w:tcW w:w="31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(6,751)</w:t>
            </w:r>
          </w:p>
        </w:tc>
        <w:tc>
          <w:tcPr>
            <w:tcW w:w="31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964,227 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1,009,955 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(45,728)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loss and LAE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593,350 </w:t>
            </w:r>
          </w:p>
        </w:tc>
        <w:tc>
          <w:tcPr>
            <w:tcW w:w="27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637,169 </w:t>
            </w:r>
          </w:p>
        </w:tc>
        <w:tc>
          <w:tcPr>
            <w:tcW w:w="31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(43,819)</w:t>
            </w:r>
          </w:p>
        </w:tc>
        <w:tc>
          <w:tcPr>
            <w:tcW w:w="31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 principal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262,361 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shareholders' equity</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121,437 </w:t>
            </w:r>
          </w:p>
        </w:tc>
        <w:tc>
          <w:tcPr>
            <w:tcW w:w="27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128,284 </w:t>
            </w:r>
          </w:p>
        </w:tc>
        <w:tc>
          <w:tcPr>
            <w:tcW w:w="31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(6,847)</w:t>
            </w:r>
          </w:p>
        </w:tc>
        <w:tc>
          <w:tcPr>
            <w:tcW w:w="31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capital resources</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390,645 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Ratio of debt to total capital resources</w:t>
            </w:r>
            <w:r>
              <w:rPr>
                <w:rFonts w:ascii="Times New Roman;serif" w:hAnsi="Times New Roman;serif"/>
                <w:b w:val="false"/>
                <w:color w:val="000000"/>
                <w:sz w:val="13"/>
              </w:rPr>
              <w:t>(8)</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27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310"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1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Book Value calculations: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Book value per common share</w:t>
            </w:r>
            <w:r>
              <w:rPr>
                <w:rFonts w:ascii="Times New Roman;serif" w:hAnsi="Times New Roman;serif"/>
                <w:b w:val="false"/>
                <w:color w:val="000000"/>
                <w:sz w:val="13"/>
              </w:rPr>
              <w:t>(6)</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27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31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31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Diluted book value per common share</w:t>
            </w:r>
            <w:r>
              <w:rPr>
                <w:rFonts w:ascii="Times New Roman;serif" w:hAnsi="Times New Roman;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60"/>
        <w:jc w:val="left"/>
        <w:rPr/>
      </w:pPr>
      <w:r>
        <w:rPr/>
      </w:r>
    </w:p>
    <w:p>
      <w:pPr>
        <w:pStyle w:val="TextBody"/>
        <w:bidi w:val="0"/>
        <w:spacing w:lineRule="auto" w:line="240" w:before="0" w:after="60"/>
        <w:ind w:left="0" w:right="0" w:hanging="360"/>
        <w:jc w:val="both"/>
        <w:rPr/>
      </w:pPr>
      <w:r>
        <w:rPr>
          <w:rFonts w:ascii="Times New Roman;serif" w:hAnsi="Times New Roman;serif"/>
          <w:b w:val="false"/>
          <w:color w:val="000000"/>
          <w:sz w:val="16"/>
        </w:rPr>
        <w:t>(1)Non-GAAP operating earnings (loss), non-GAAP operating earnings (loss) per common share, and annualized non-GAAP operating return on average common shareholders' equity are non-GAAP financial measures. See "</w:t>
      </w:r>
      <w:r>
        <w:rPr>
          <w:rFonts w:ascii="Times New Roman;serif" w:hAnsi="Times New Roman;serif"/>
          <w:b w:val="false"/>
          <w:i/>
          <w:color w:val="000000"/>
          <w:sz w:val="16"/>
        </w:rPr>
        <w:t>Key Financial Measures</w:t>
      </w:r>
      <w:r>
        <w:rPr>
          <w:rFonts w:ascii="Times New Roman;serif" w:hAnsi="Times New Roman;serif"/>
          <w:b w:val="false"/>
          <w:color w:val="000000"/>
          <w:sz w:val="16"/>
        </w:rPr>
        <w:t xml:space="preserve">" for additional information. </w:t>
      </w:r>
    </w:p>
    <w:p>
      <w:pPr>
        <w:pStyle w:val="TextBody"/>
        <w:bidi w:val="0"/>
        <w:spacing w:lineRule="auto" w:line="240" w:before="0" w:after="60"/>
        <w:ind w:left="0" w:right="0" w:hanging="360"/>
        <w:jc w:val="both"/>
        <w:rPr/>
      </w:pPr>
      <w:r>
        <w:rPr>
          <w:rFonts w:ascii="Times New Roman;serif" w:hAnsi="Times New Roman;serif"/>
          <w:b w:val="false"/>
          <w:color w:val="000000"/>
          <w:sz w:val="16"/>
        </w:rPr>
        <w:t>(2)Please refer to "</w:t>
      </w:r>
      <w:r>
        <w:rPr>
          <w:rFonts w:ascii="Times New Roman;serif" w:hAnsi="Times New Roman;serif"/>
          <w:b w:val="false"/>
          <w:i/>
          <w:color w:val="000000"/>
          <w:sz w:val="16"/>
        </w:rPr>
        <w:t>Notes to Condensed Consolidated Financial Statements (unaudited) Note 12. Earnings per Common Share</w:t>
      </w:r>
      <w:r>
        <w:rPr>
          <w:rFonts w:ascii="Times New Roman;serif" w:hAnsi="Times New Roman;serif"/>
          <w:b w:val="false"/>
          <w:color w:val="000000"/>
          <w:sz w:val="16"/>
        </w:rPr>
        <w:t>" for the calculation of basic and diluted income (loss) per common share.</w:t>
      </w:r>
    </w:p>
    <w:p>
      <w:pPr>
        <w:pStyle w:val="TextBody"/>
        <w:bidi w:val="0"/>
        <w:spacing w:lineRule="auto" w:line="240" w:before="0" w:after="60"/>
        <w:ind w:left="0" w:right="0" w:hanging="360"/>
        <w:jc w:val="both"/>
        <w:rPr/>
      </w:pPr>
      <w:r>
        <w:rPr>
          <w:rFonts w:ascii="Times New Roman;serif" w:hAnsi="Times New Roman;serif"/>
          <w:b w:val="false"/>
          <w:color w:val="000000"/>
          <w:sz w:val="16"/>
        </w:rPr>
        <w:t>(3)Underwriting and fee income or loss is a non-GAAP measure and is calculated as net premiums earned plus fee revenue less net loss and LAE, commission and other acquisition expenses and general and administrative expenses directly related to underwriting activities. See "</w:t>
      </w:r>
      <w:r>
        <w:rPr>
          <w:rFonts w:ascii="Times New Roman;serif" w:hAnsi="Times New Roman;serif"/>
          <w:b w:val="false"/>
          <w:i/>
          <w:color w:val="000000"/>
          <w:sz w:val="16"/>
        </w:rPr>
        <w:t>Key Financial Measures</w:t>
      </w:r>
      <w:r>
        <w:rPr>
          <w:rFonts w:ascii="Times New Roman;serif" w:hAnsi="Times New Roman;serif"/>
          <w:b w:val="false"/>
          <w:color w:val="000000"/>
          <w:sz w:val="16"/>
        </w:rPr>
        <w:t>" for additional information.</w:t>
      </w:r>
    </w:p>
    <w:p>
      <w:pPr>
        <w:pStyle w:val="TextBody"/>
        <w:bidi w:val="0"/>
        <w:spacing w:lineRule="auto" w:line="240"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(4)Total investments and cash and cash equivalents includes both restricted and unrestricted amounts of these assets.</w:t>
      </w:r>
    </w:p>
    <w:p>
      <w:pPr>
        <w:pStyle w:val="TextBody"/>
        <w:bidi w:val="0"/>
        <w:spacing w:lineRule="auto" w:line="240" w:before="0" w:after="60"/>
        <w:ind w:left="0" w:right="0" w:hanging="360"/>
        <w:jc w:val="both"/>
        <w:rPr/>
      </w:pPr>
      <w:r>
        <w:rPr>
          <w:rFonts w:ascii="Times New Roman;serif" w:hAnsi="Times New Roman;serif"/>
          <w:b w:val="false"/>
          <w:color w:val="000000"/>
          <w:sz w:val="16"/>
        </w:rPr>
        <w:t>(5)Total capital resources is the sum of the Company's principal amount of debt and shareholders' equity. See "</w:t>
      </w:r>
      <w:r>
        <w:rPr>
          <w:rFonts w:ascii="Times New Roman;serif" w:hAnsi="Times New Roman;serif"/>
          <w:b w:val="false"/>
          <w:i/>
          <w:color w:val="000000"/>
          <w:sz w:val="16"/>
        </w:rPr>
        <w:t>Key Financial Measures</w:t>
      </w:r>
      <w:r>
        <w:rPr>
          <w:rFonts w:ascii="Times New Roman;serif" w:hAnsi="Times New Roman;serif"/>
          <w:b w:val="false"/>
          <w:color w:val="000000"/>
          <w:sz w:val="16"/>
        </w:rPr>
        <w:t>" for additional information.</w:t>
      </w:r>
    </w:p>
    <w:p>
      <w:pPr>
        <w:pStyle w:val="TextBody"/>
        <w:bidi w:val="0"/>
        <w:spacing w:lineRule="auto" w:line="240" w:before="0" w:after="60"/>
        <w:ind w:left="0" w:right="0" w:hanging="360"/>
        <w:jc w:val="both"/>
        <w:rPr/>
      </w:pPr>
      <w:r>
        <w:rPr>
          <w:rFonts w:ascii="Times New Roman;serif" w:hAnsi="Times New Roman;serif"/>
          <w:b w:val="false"/>
          <w:color w:val="000000"/>
          <w:sz w:val="16"/>
        </w:rPr>
        <w:t>(6)Book value per common share is calculated using shareholders’ equity divided by the number of common shares outstanding. See "</w:t>
      </w:r>
      <w:r>
        <w:rPr>
          <w:rFonts w:ascii="Times New Roman;serif" w:hAnsi="Times New Roman;serif"/>
          <w:b w:val="false"/>
          <w:i/>
          <w:color w:val="000000"/>
          <w:sz w:val="16"/>
        </w:rPr>
        <w:t>Key Financial Measures</w:t>
      </w:r>
      <w:r>
        <w:rPr>
          <w:rFonts w:ascii="Times New Roman;serif" w:hAnsi="Times New Roman;serif"/>
          <w:b w:val="false"/>
          <w:color w:val="000000"/>
          <w:sz w:val="16"/>
        </w:rPr>
        <w:t>" for additional information.</w:t>
      </w:r>
    </w:p>
    <w:p>
      <w:pPr>
        <w:pStyle w:val="TextBody"/>
        <w:bidi w:val="0"/>
        <w:spacing w:lineRule="auto" w:line="240" w:before="0" w:after="60"/>
        <w:ind w:left="0" w:right="0" w:hanging="360"/>
        <w:jc w:val="both"/>
        <w:rPr/>
      </w:pPr>
      <w:r>
        <w:rPr>
          <w:rFonts w:ascii="Times New Roman;serif" w:hAnsi="Times New Roman;serif"/>
          <w:b w:val="false"/>
          <w:color w:val="000000"/>
          <w:sz w:val="16"/>
        </w:rPr>
        <w:t>(7)Diluted book value per common share is calculated by dividing shareholders' equity, adjusted for assumed proceeds from the exercise of dilutive options, by the number of outstanding common shares plus dilutive options and restricted shares (assuming exercise of all dilutive share based awards). See "</w:t>
      </w:r>
      <w:r>
        <w:rPr>
          <w:rFonts w:ascii="Times New Roman;serif" w:hAnsi="Times New Roman;serif"/>
          <w:b w:val="false"/>
          <w:i/>
          <w:color w:val="000000"/>
          <w:sz w:val="16"/>
        </w:rPr>
        <w:t>Key Financial Measures</w:t>
      </w:r>
      <w:r>
        <w:rPr>
          <w:rFonts w:ascii="Times New Roman;serif" w:hAnsi="Times New Roman;serif"/>
          <w:b w:val="false"/>
          <w:color w:val="000000"/>
          <w:sz w:val="16"/>
        </w:rPr>
        <w:t>" for additional information.</w:t>
      </w:r>
    </w:p>
    <w:p>
      <w:pPr>
        <w:pStyle w:val="TextBody"/>
        <w:bidi w:val="0"/>
        <w:spacing w:lineRule="auto" w:line="240"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(8)Ratio of debt to total capital resources is calculated using the total principal amount of debt divided by the sum of total capital resources.</w:t>
      </w:r>
    </w:p>
    <w:p>
      <w:pPr>
        <w:pStyle w:val="TextBody"/>
        <w:bidi w:val="0"/>
        <w:spacing w:lineRule="auto" w:line="240"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(9)Net investment results include the sum of net investment income, net realized and unrealized gains (losses), and interest in income (loss) of equity method investments.</w:t>
      </w:r>
    </w:p>
    <w:p>
      <w:pPr>
        <w:pStyle w:val="TextBody"/>
        <w:bidi w:val="0"/>
        <w:spacing w:before="0" w:after="60"/>
        <w:jc w:val="both"/>
        <w:rPr/>
      </w:pPr>
      <w:r>
        <w:rPr/>
      </w:r>
    </w:p>
    <w:p>
      <w:pPr>
        <w:pStyle w:val="TextBody"/>
        <w:bidi w:val="0"/>
        <w:spacing w:before="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 xml:space="preserve">Key Financial &amp; Operating Measures </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In addition to our key financial measures presented in accordance with GAAP in the Condensed Consolidated Balance Sheets and Condensed Consolidated Statements of Operations and Comprehensive Loss, management uses certain non-GAAP financial measures to evaluate the Company's financial performance and the overall growth in value generated for the Company’s common shareholders. Management believes that these measures, which may be defined differently by other companies, explain the Company’s results to investors in a manner that allows for a more complete understanding of the underlying trends in the Company’s business. The non-GAAP measures should not be viewed as a substitute for those determined in accordance with U.S. GAAP. The calculation of these key financial measures including the reconciliation of non-GAAP measures to the nearest GAAP measure and relevant discussions are found within </w:t>
      </w:r>
      <w:r>
        <w:rPr>
          <w:rFonts w:ascii="Times New Roman;serif" w:hAnsi="Times New Roman;serif"/>
          <w:b w:val="false"/>
          <w:i/>
          <w:color w:val="000000"/>
          <w:sz w:val="20"/>
        </w:rPr>
        <w:t xml:space="preserve">Item 2 - "Management's Discussion and Analysis of Financial Condition - Results of Operations and Non-GAAP Measures" </w:t>
      </w:r>
      <w:r>
        <w:rPr>
          <w:rFonts w:ascii="Times New Roman;serif" w:hAnsi="Times New Roman;serif"/>
          <w:b w:val="false"/>
          <w:color w:val="000000"/>
          <w:sz w:val="20"/>
        </w:rPr>
        <w:t xml:space="preserve">and are summarized as follows: </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Non-GAAP operating earnings (loss) and non-GAAP diluted operating earnings (loss) per common share</w:t>
      </w:r>
      <w:r>
        <w:rPr>
          <w:rFonts w:ascii="Times New Roman;serif" w:hAnsi="Times New Roman;serif"/>
          <w:b w:val="false"/>
          <w:color w:val="000000"/>
          <w:sz w:val="20"/>
        </w:rPr>
        <w:t xml:space="preserve">: Management believes that the use of non-GAAP operating earnings and non-GAAP diluted operating earnings per common share enables investors and other users of the Company’s financial information to analyze its performance in a manner similar to how management analyzes performance. Management also believes that these measures generally follow industry practice therefore allowing the users of financial information to compare the Company’s performance with its industry peer group, and that the equity analysts and certain rating agencies which follow the Company, and the insurance industry as a whole, generally exclude these items from their analyses for the same reasons. Non-GAAP operating earnings (loss) should not be viewed as a substitute for U.S. GAAP net income (loss).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Non-GAAP operating earnings (loss) is an internal performance measure used by management as these measures focus on the underlying fundamentals of the Company's operations by excluding, on a recurring basis: (1) net realized and unrealized investment gains (losses); (2) foreign exchange and other gains (losses); (3) interest in income (loss) of equity method investments; and (4) amortization of intangible assets. It also excludes on a non-recurring basis: (1) loss from discontinued operations, net of income tax and; (2) restructuring and severance costs; and (3) costs incurred due to the Combination on May 27, 2025. We excluded net realized investment gains (losses), interest in income (loss) of equity method investments and foreign exchange and other gains (losses) as we believe these are influenced by market opportunities and other factors. We do not believe amortization of intangible assets, the net loss from our discontinued operations; restructuring and severance costs; and costs incurred due to the Combination on May 27, 2025 are representative of our ongoing and future business. We believe all of these amounts are substantially independent of our business and any potential future underwriting process, therefore their inclusion would distort the analysis of underlying trends in our operations.</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Underwriting loss and fee income</w:t>
      </w:r>
      <w:r>
        <w:rPr>
          <w:color w:val="000000"/>
        </w:rPr>
        <w:t xml:space="preserve"> </w:t>
      </w:r>
      <w:r>
        <w:rPr>
          <w:rFonts w:ascii="Times New Roman;serif" w:hAnsi="Times New Roman;serif"/>
          <w:b w:val="false"/>
          <w:color w:val="000000"/>
          <w:sz w:val="20"/>
        </w:rPr>
        <w:t>is a non-GAAP measure and is calculated as net premiums earned plus fee revenue less net loss and LAE, commission and other acquisition expenses and general and administrative expenses directly related to underwriting activities. For purposes of these non-GAAP operating measures, the fee-generating business which is included in our Program Services segment, is considered part of the underwriting operations of the Company. Management believes that this measure is important in evaluating the underwriting performance of the Company and its segments. This measure is also a useful tool to measure the profitability of the Company separately from the investment results and is also a widely used performance indicator in the insurance industry. A reconciliation of the Company's underwriting results can be found in the Condensed Consolidated Financial Statements in the "</w:t>
      </w:r>
      <w:r>
        <w:rPr>
          <w:rFonts w:ascii="Times New Roman;serif" w:hAnsi="Times New Roman;serif"/>
          <w:b w:val="false"/>
          <w:i/>
          <w:color w:val="000000"/>
          <w:sz w:val="20"/>
        </w:rPr>
        <w:t>Notes to Condensed Consolidated Financial Statements (unaudited) Note 3. Segment Information</w:t>
      </w:r>
      <w:r>
        <w:rPr>
          <w:rFonts w:ascii="Times New Roman;serif" w:hAnsi="Times New Roman;serif"/>
          <w:b w:val="false"/>
          <w:color w:val="000000"/>
          <w:sz w:val="20"/>
        </w:rPr>
        <w:t xml:space="preserve">" under </w:t>
      </w:r>
      <w:r>
        <w:rPr>
          <w:rFonts w:ascii="Times New Roman;serif" w:hAnsi="Times New Roman;serif"/>
          <w:b w:val="false"/>
          <w:i/>
          <w:color w:val="000000"/>
          <w:sz w:val="20"/>
        </w:rPr>
        <w:t>Item 1. "Financial Statements"</w:t>
      </w:r>
      <w:r>
        <w:rPr>
          <w:color w:val="000000"/>
        </w:rPr>
        <w:t> </w:t>
      </w:r>
      <w:r>
        <w:rPr>
          <w:rFonts w:ascii="Times New Roman;serif" w:hAnsi="Times New Roman;serif"/>
          <w:b w:val="false"/>
          <w:color w:val="000000"/>
          <w:sz w:val="20"/>
        </w:rPr>
        <w:t>of this Quarterly Report on Form 10-Q.</w:t>
      </w:r>
    </w:p>
    <w:p>
      <w:pPr>
        <w:pStyle w:val="TextBody"/>
        <w:bidi w:val="0"/>
        <w:spacing w:lineRule="auto" w:line="240" w:before="0" w:after="12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The Company does not present certain non-GAAP measures such as combined ratio and its related components in this Quarterly Report on Form 10-Q for the three months ended March 31, 2026, as it believes that as the run-off of our reinsurance portfolios progresses, such ratios are increasingly not meaningful and of little value to readers as they evaluate the financial results of the Company. While an important metric of success, underwriting and fee income does not reflect all components of profitability, as it does not recognize the impact of investment income earned on premiums between the time premiums are received and the time loss payments are ultimately paid to clients. Because we do not manage our cash and investments by segment, investment income and interest expense are not allocated to the reportable segments. Certain general and administrative expenses are generally allocated to segments based on actual costs incurred.</w:t>
      </w:r>
    </w:p>
    <w:p>
      <w:pPr>
        <w:pStyle w:val="TextBody"/>
        <w:bidi w:val="0"/>
        <w:spacing w:lineRule="auto" w:line="240" w:before="0" w:after="120"/>
        <w:jc w:val="both"/>
        <w:rPr/>
      </w:pPr>
      <w:r>
        <w:rPr>
          <w:rFonts w:ascii="Times New Roman;serif" w:hAnsi="Times New Roman;serif"/>
          <w:b w:val="false"/>
          <w:i/>
          <w:color w:val="000000"/>
          <w:sz w:val="20"/>
        </w:rPr>
        <w:t xml:space="preserve">Non-GAAP Operating Return on Average Shareholders' Equity ("Non-GAAP Operating ROACE"): </w:t>
      </w:r>
      <w:r>
        <w:rPr>
          <w:rFonts w:ascii="Times New Roman;serif" w:hAnsi="Times New Roman;serif"/>
          <w:b w:val="false"/>
          <w:color w:val="000000"/>
          <w:sz w:val="20"/>
        </w:rPr>
        <w:t>Management uses non-GAAP operating return on average shareholders' equity as a measure of profitability that focuses on the return to common shareholders. It is calculated using non-GAAP operating earnings (loss) available to common shareholders (as defined above) divided by average shareholders' equity.</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 xml:space="preserve">Book Value per Common Share and Diluted Book Value per Common Share: </w:t>
      </w:r>
      <w:r>
        <w:rPr>
          <w:rFonts w:ascii="Times New Roman;serif" w:hAnsi="Times New Roman;serif"/>
          <w:b w:val="false"/>
          <w:color w:val="000000"/>
          <w:sz w:val="20"/>
        </w:rPr>
        <w:t xml:space="preserve">Book value per common share and diluted book value per common share are non-GAAP measures. Management uses growth in both of these metrics as a prime measure of the value we are generating for our common shareholders, because management believes that growth in each metric ultimately results in growth in the Company’s common share price. These metrics are impacted by the Company’s net income and external factors, such as interest rates, which can drive changes in unrealized gains or losses on our fixed income investment portfolio, as well as common share repurchases. </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 xml:space="preserve">Ratio of Debt to Total Capital Resources: </w:t>
      </w:r>
      <w:r>
        <w:rPr>
          <w:rFonts w:ascii="Times New Roman;serif" w:hAnsi="Times New Roman;serif"/>
          <w:b w:val="false"/>
          <w:color w:val="000000"/>
          <w:sz w:val="20"/>
        </w:rPr>
        <w:t>Management uses this non-GAAP measure to monitor the financial leverage of the Company. This measure is calculated using the total principal amount of debt divided by the sum of total capital resources.</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Alternative investments</w:t>
      </w:r>
      <w:r>
        <w:rPr>
          <w:color w:val="000000"/>
        </w:rPr>
        <w:t xml:space="preserve"> </w:t>
      </w:r>
      <w:r>
        <w:rPr>
          <w:rFonts w:ascii="Times New Roman;serif" w:hAnsi="Times New Roman;serif"/>
          <w:b w:val="false"/>
          <w:color w:val="000000"/>
          <w:sz w:val="20"/>
        </w:rPr>
        <w:t>is the total of the Company's holdings of equity securities, other investments and equity method investments as reported on the Company's Condensed Consolidated Balance Sheets.</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Operating Metrics</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Premium produced</w:t>
      </w:r>
      <w:r>
        <w:rPr>
          <w:color w:val="000000"/>
        </w:rPr>
        <w:t xml:space="preserve"> </w:t>
      </w:r>
      <w:r>
        <w:rPr>
          <w:rFonts w:ascii="Times New Roman;serif" w:hAnsi="Times New Roman;serif"/>
          <w:b w:val="false"/>
          <w:color w:val="000000"/>
          <w:sz w:val="20"/>
        </w:rPr>
        <w:t xml:space="preserve">is an operating metric determined by management as a byproduct of the program services fees it earns and is paid by clients. Premium produced is equal to the premium written by an MGA or capacity provider, and management believes this measure is important in understanding the underlying production trends of its Program Services business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fees it earns. Where available, the Company utilizes underlying premium produced as reported by its clients. Where the premium produced was not directly observable, the Company derived the premium produced by grossing up the known fee component using the applicable contractual fee percentage, including its arrangements with its insurance carrier partners.</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40" w:before="0" w:after="120"/>
        <w:ind w:left="0" w:right="0" w:firstLine="270"/>
        <w:jc w:val="both"/>
        <w:rPr/>
      </w:pPr>
      <w:r>
        <w:rPr>
          <w:rFonts w:ascii="Times New Roman;serif" w:hAnsi="Times New Roman;serif"/>
          <w:b w:val="false"/>
          <w:color w:val="000000"/>
          <w:sz w:val="20"/>
        </w:rPr>
        <w:t>It is important to understand our accounting policies in order to understand our financial position and results of operations. The Company’s Condensed Consolidated Financial Statements have been prepared in accordance with U.S. GAAP. The preparation of financial statements in conformity with U.S. GAAP requires management to make estimates and assumptions that affect the reported amounts of assets and liabilities at the date of the financial statements and the reported amounts of revenues and expenses during the reporting period. The Company's critical accounting policies and estimates are disclosed in "</w:t>
      </w:r>
      <w:r>
        <w:rPr>
          <w:rFonts w:ascii="Times New Roman;serif" w:hAnsi="Times New Roman;serif"/>
          <w:b w:val="false"/>
          <w:i/>
          <w:color w:val="000000"/>
          <w:sz w:val="20"/>
        </w:rPr>
        <w:t>Part II, Item 7. Management’s Discussion and Analysis of Financial Condition and Results of Operations</w:t>
      </w:r>
      <w:r>
        <w:rPr>
          <w:rFonts w:ascii="Times New Roman;serif" w:hAnsi="Times New Roman;serif"/>
          <w:b w:val="false"/>
          <w:color w:val="000000"/>
          <w:sz w:val="20"/>
        </w:rPr>
        <w:t xml:space="preserve">" included in our Annual Report Form 10-K filed on March 13, 2026. </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The critical accounting policies and estimates should also be read in conjunction with </w:t>
      </w:r>
      <w:r>
        <w:rPr>
          <w:rFonts w:ascii="Times New Roman;serif" w:hAnsi="Times New Roman;serif"/>
          <w:b w:val="false"/>
          <w:i/>
          <w:color w:val="000000"/>
          <w:sz w:val="20"/>
        </w:rPr>
        <w:t>Notes to Consolidated Financial Statements: Note 2. Significant Accounting Policies</w:t>
      </w:r>
      <w:r>
        <w:rPr>
          <w:color w:val="000000"/>
        </w:rPr>
        <w:t xml:space="preserve"> </w:t>
      </w:r>
      <w:r>
        <w:rPr>
          <w:rFonts w:ascii="Times New Roman;serif" w:hAnsi="Times New Roman;serif"/>
          <w:b w:val="false"/>
          <w:color w:val="000000"/>
          <w:sz w:val="20"/>
        </w:rPr>
        <w:t xml:space="preserve">included under Part II, Item 8 </w:t>
      </w:r>
      <w:r>
        <w:rPr>
          <w:rFonts w:ascii="Times New Roman;serif" w:hAnsi="Times New Roman;serif"/>
          <w:b w:val="false"/>
          <w:i/>
          <w:color w:val="000000"/>
          <w:sz w:val="20"/>
        </w:rPr>
        <w:t>"Financial Statements and Supplementary Data"</w:t>
      </w:r>
      <w:r>
        <w:rPr>
          <w:color w:val="000000"/>
        </w:rPr>
        <w:t xml:space="preserve"> </w:t>
      </w:r>
      <w:r>
        <w:rPr>
          <w:rFonts w:ascii="Times New Roman;serif" w:hAnsi="Times New Roman;serif"/>
          <w:b w:val="false"/>
          <w:color w:val="000000"/>
          <w:sz w:val="20"/>
        </w:rPr>
        <w:t>of our Annual Report Form 10-K filed on March 13, 2026 for a full understanding of the Company’s accounting policies. There have been no changes during the three months ended March 31, 2026 to those critical accounting policies and estimates disclosed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40" w:before="200" w:after="120"/>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a result of the Combination on May 27, 2025, the Company acquired Maiden's operations, which includes significant underwriting and investment activities, along with operating expenses and interest expense associated with Maiden's senior notes outstanding. Maiden's results of operations are reported for the three months ended March 31, 2026 only and because the prior period results of operations do not include the operations of Maiden, the year-over-year comparisons are generally not directly comparable. The following table sets forth our selected unaudited Condensed Consolidated Statement of Operations data for the three months ended March 31, 2026 and 2025:</w:t>
      </w:r>
    </w:p>
    <w:tbl>
      <w:tblPr>
        <w:tblW w:w="9185" w:type="dxa"/>
        <w:jc w:val="center"/>
        <w:tblInd w:w="0" w:type="dxa"/>
        <w:tblLayout w:type="fixed"/>
        <w:tblCellMar>
          <w:top w:w="28" w:type="dxa"/>
          <w:left w:w="28" w:type="dxa"/>
          <w:bottom w:w="28" w:type="dxa"/>
          <w:right w:w="28" w:type="dxa"/>
        </w:tblCellMar>
      </w:tblPr>
      <w:tblGrid>
        <w:gridCol w:w="1605"/>
        <w:gridCol w:w="1407"/>
        <w:gridCol w:w="1413"/>
        <w:gridCol w:w="109"/>
        <w:gridCol w:w="109"/>
        <w:gridCol w:w="109"/>
        <w:gridCol w:w="109"/>
        <w:gridCol w:w="109"/>
        <w:gridCol w:w="264"/>
        <w:gridCol w:w="264"/>
        <w:gridCol w:w="512"/>
        <w:gridCol w:w="1678"/>
        <w:gridCol w:w="264"/>
        <w:gridCol w:w="109"/>
        <w:gridCol w:w="109"/>
        <w:gridCol w:w="109"/>
        <w:gridCol w:w="211"/>
        <w:gridCol w:w="541"/>
        <w:gridCol w:w="154"/>
      </w:tblGrid>
      <w:tr>
        <w:trPr/>
        <w:tc>
          <w:tcPr>
            <w:tcW w:w="1605"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233" w:type="dxa"/>
            <w:gridSpan w:val="6"/>
            <w:tcBorders/>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2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1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2,655 </w:t>
            </w:r>
          </w:p>
        </w:tc>
        <w:tc>
          <w:tcPr>
            <w:tcW w:w="26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1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2,654 </w:t>
            </w:r>
          </w:p>
        </w:tc>
        <w:tc>
          <w:tcPr>
            <w:tcW w:w="26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1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3,157 </w:t>
            </w:r>
          </w:p>
        </w:tc>
        <w:tc>
          <w:tcPr>
            <w:tcW w:w="26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loss and LAE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9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w:t>
            </w:r>
          </w:p>
        </w:tc>
        <w:tc>
          <w:tcPr>
            <w:tcW w:w="26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Commission and other acquisition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val="false"/>
                <w:color w:val="000000"/>
                <w:sz w:val="20"/>
              </w:rPr>
              <w:t>General and administrative expenses</w:t>
            </w:r>
            <w:r>
              <w:rPr>
                <w:rFonts w:ascii="Times New Roman;serif" w:hAnsi="Times New Roman;serif"/>
                <w:b w:val="false"/>
                <w:color w:val="000000"/>
                <w:sz w:val="13"/>
              </w:rPr>
              <w:t>(1)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9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(4,225)</w:t>
            </w:r>
          </w:p>
        </w:tc>
        <w:tc>
          <w:tcPr>
            <w:tcW w:w="26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color w:val="000000"/>
                <w:sz w:val="20"/>
              </w:rPr>
              <w:t>Underwriting loss &amp; fee income</w:t>
            </w:r>
            <w:r>
              <w:rPr>
                <w:rFonts w:ascii="Times New Roman;serif" w:hAnsi="Times New Roman;serif"/>
                <w:b/>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val="false"/>
                <w:color w:val="000000"/>
                <w:sz w:val="20"/>
              </w:rPr>
              <w:t>Other general and administrative expenses</w:t>
            </w:r>
            <w:r>
              <w:rPr>
                <w:rFonts w:ascii="Times New Roman;serif" w:hAnsi="Times New Roman;serif"/>
                <w:b w:val="false"/>
                <w:color w:val="000000"/>
                <w:sz w:val="13"/>
              </w:rPr>
              <w:t>(1)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9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(7,518)</w:t>
            </w:r>
          </w:p>
        </w:tc>
        <w:tc>
          <w:tcPr>
            <w:tcW w:w="26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42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investment gains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9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1,339 </w:t>
            </w:r>
          </w:p>
        </w:tc>
        <w:tc>
          <w:tcPr>
            <w:tcW w:w="26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Foreign exchange and other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amortization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9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(3,896)</w:t>
            </w:r>
          </w:p>
        </w:tc>
        <w:tc>
          <w:tcPr>
            <w:tcW w:w="26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 loss of equity method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9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6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(6,953)</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net of income tax</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9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26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(7,431)</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360"/>
        <w:jc w:val="both"/>
        <w:rPr/>
      </w:pPr>
      <w:r>
        <w:rPr>
          <w:rFonts w:ascii="Times New Roman;serif" w:hAnsi="Times New Roman;serif"/>
          <w:b w:val="false"/>
          <w:i/>
          <w:color w:val="000000"/>
          <w:sz w:val="16"/>
        </w:rPr>
        <w:t>(1)</w:t>
      </w:r>
      <w:r>
        <w:rPr>
          <w:rFonts w:ascii="Times New Roman;serif" w:hAnsi="Times New Roman;serif"/>
          <w:b w:val="false"/>
          <w:color w:val="000000"/>
          <w:sz w:val="16"/>
        </w:rPr>
        <w:t xml:space="preserve">Underwriting loss and fee income related general and administrative expenses is a non-GAAP measure. Please refer to </w:t>
      </w:r>
      <w:r>
        <w:rPr>
          <w:rFonts w:ascii="Times New Roman;serif" w:hAnsi="Times New Roman;serif"/>
          <w:b w:val="false"/>
          <w:i/>
          <w:color w:val="000000"/>
          <w:sz w:val="16"/>
        </w:rPr>
        <w:t xml:space="preserve">"General and Administrative Expenses" </w:t>
      </w:r>
      <w:r>
        <w:rPr>
          <w:rFonts w:ascii="Times New Roman;serif" w:hAnsi="Times New Roman;serif"/>
          <w:b w:val="false"/>
          <w:color w:val="000000"/>
          <w:sz w:val="16"/>
        </w:rPr>
        <w:t>below</w:t>
      </w:r>
      <w:r>
        <w:rPr>
          <w:color w:val="000000"/>
        </w:rPr>
        <w:t xml:space="preserve"> </w:t>
      </w:r>
      <w:r>
        <w:rPr>
          <w:rFonts w:ascii="Times New Roman;serif" w:hAnsi="Times New Roman;serif"/>
          <w:b w:val="false"/>
          <w:color w:val="000000"/>
          <w:sz w:val="16"/>
        </w:rPr>
        <w:t>for additional information related to these corporate expenses and the reconciliation to those presented in our unaudited Condensed Consolidated Statements of Operations.</w:t>
      </w:r>
    </w:p>
    <w:p>
      <w:pPr>
        <w:pStyle w:val="TextBody"/>
        <w:bidi w:val="0"/>
        <w:spacing w:lineRule="auto" w:line="240"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(2)Underwriting loss and fee income is a non-GAAP measure and is calculated as net premiums earned plus fee revenue less net loss and LAE, commission and other acquisition expenses and general and administrative expenses directly related to underwriting activities.</w:t>
      </w:r>
    </w:p>
    <w:p>
      <w:pPr>
        <w:pStyle w:val="TextBody"/>
        <w:bidi w:val="0"/>
        <w:spacing w:lineRule="auto" w:line="240"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(3)The Company does not present certain non-GAAP measures such as combined ratio and its related components in its results of operation, as it believes that as the run-off of its reinsurance portfolios progresses, such ratios are increasingly not meaningful and of less value to readers as they evaluate our financial results.</w:t>
      </w:r>
    </w:p>
    <w:p>
      <w:pPr>
        <w:pStyle w:val="TextBody"/>
        <w:bidi w:val="0"/>
        <w:spacing w:before="0" w:after="0"/>
        <w:jc w:val="both"/>
        <w:rPr/>
      </w:pPr>
      <w:r>
        <w:rPr/>
      </w:r>
    </w:p>
    <w:p>
      <w:pPr>
        <w:pStyle w:val="TextBody"/>
        <w:bidi w:val="0"/>
        <w:spacing w:lineRule="auto" w:line="240" w:before="0" w:after="120"/>
        <w:jc w:val="both"/>
        <w:rPr>
          <w:rFonts w:ascii="Times New Roman;serif" w:hAnsi="Times New Roman;serif"/>
          <w:b/>
          <w:color w:val="000000"/>
          <w:sz w:val="20"/>
          <w:u w:val="single"/>
        </w:rPr>
      </w:pPr>
      <w:r>
        <w:rPr>
          <w:rFonts w:ascii="Times New Roman;serif" w:hAnsi="Times New Roman;serif"/>
          <w:b/>
          <w:color w:val="000000"/>
          <w:sz w:val="20"/>
          <w:u w:val="single"/>
        </w:rPr>
        <w:t>Results for the three months ended March 31, 2026</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Net loss for the three months ended March 31, 2026 was $7.4 million compared to a net loss of $0.4 million for the same respective period in 2025. An underwriting loss from the Legacy Reinsurance segment combined with higher operating and interest expenses was partially offset by increased Program Services fee income, net investment income, unrealized gains from investment activities as well as net foreign exchange and other gains.</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The Legacy Reinsurance segment underwriting loss of $3.3 million for the three months ended March 31, 2026 largely due to:</w:t>
      </w:r>
    </w:p>
    <w:p>
      <w:pPr>
        <w:pStyle w:val="TextBody"/>
        <w:bidi w:val="0"/>
        <w:spacing w:lineRule="auto" w:line="240" w:before="0" w:after="60"/>
        <w:ind w:left="0" w:right="0" w:hanging="180"/>
        <w:jc w:val="both"/>
        <w:rPr/>
      </w:pPr>
      <w:r>
        <w:rPr>
          <w:color w:val="000000"/>
        </w:rPr>
        <w:t>•</w:t>
      </w:r>
      <w:r>
        <w:rPr>
          <w:rFonts w:ascii="Times New Roman;serif" w:hAnsi="Times New Roman;serif"/>
          <w:b w:val="false"/>
          <w:color w:val="000000"/>
          <w:sz w:val="20"/>
        </w:rPr>
        <w:t xml:space="preserve">On a current accident year basis, the underwriting loss for the Legacy Reinsurance segment was $3.0 million for the three months ended March 31, 2026. </w:t>
      </w:r>
    </w:p>
    <w:p>
      <w:pPr>
        <w:pStyle w:val="TextBody"/>
        <w:bidi w:val="0"/>
        <w:spacing w:lineRule="auto" w:line="240" w:before="0" w:after="60"/>
        <w:ind w:left="0" w:right="0" w:hanging="180"/>
        <w:jc w:val="both"/>
        <w:rPr/>
      </w:pPr>
      <w:r>
        <w:rPr>
          <w:color w:val="000000"/>
        </w:rPr>
        <w:t>•</w:t>
      </w:r>
      <w:r>
        <w:rPr>
          <w:rFonts w:ascii="Times New Roman;serif" w:hAnsi="Times New Roman;serif"/>
          <w:b w:val="false"/>
          <w:color w:val="000000"/>
          <w:sz w:val="20"/>
        </w:rPr>
        <w:t>Our Legacy Reinsurance segment experienced adverse prior year loss development ("PPD") of $0.3 million in the first quarter of 2026, which included AmTrust Reinsurance Legacy adverse PPD of $0.6 million partly offset by Diversified Reinsurance Legacy favorable PPD of $0.3 million.</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The underwriting loss includes amortization of $0.8 million for the fair value adjustment on the discount on acquired net loss reserves due to the Combination which is recurring and amortized over the remaining claims settlement period.</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Program Services segment produced net fee income of $1.6 million for the three months ended March 31, 2026 compared to net fee income of $0.2 million for the same respective period in 2025. Fee revenue increased to $3.1 million for the three months ended March 31, 2026 compared to $0.8 million for the same period in 2025 derived from fees from both new and existing client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44" w:before="0" w:after="120"/>
        <w:ind w:left="0" w:right="0" w:hanging="180"/>
        <w:jc w:val="both"/>
        <w:rPr/>
      </w:pPr>
      <w:r>
        <w:rPr>
          <w:color w:val="000000"/>
        </w:rPr>
        <w:t>•</w:t>
      </w:r>
      <w:r>
        <w:rPr>
          <w:rFonts w:ascii="Times New Roman;serif" w:hAnsi="Times New Roman;serif"/>
          <w:b w:val="false"/>
          <w:color w:val="000000"/>
          <w:sz w:val="20"/>
        </w:rPr>
        <w:t>combined income from investment activities totaled $3.9 million for the three months ended March 31, 2026 compared to $0.0 million for the same period in 2025 primarily due to the following:</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 xml:space="preserve">net investment income increased to $2.6 million for the three months ended March 31, 2026 compared to $34.0 thousand that was earned for the same respective period in 2025; </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realized and unrealized investment gains of $1.3 million for the three months ended March 31, 2026 compared to net investment losses of $0.0 million for the same respective period in 2025; and</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interest in loss of equity method investments was $1.0 thousand for the three months ended March 31, 2026 compared to $0.0 million for the same respective period in 2025.</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corporate general and administrative expenses increased to $7.5 million for the three months ended March 31, 2026 compared to $0.6 million for the same period in 2025 largely due to the inclusion of Maiden operating costs; and</w:t>
      </w:r>
    </w:p>
    <w:p>
      <w:pPr>
        <w:pStyle w:val="TextBody"/>
        <w:bidi w:val="0"/>
        <w:spacing w:lineRule="auto" w:line="240" w:before="0" w:after="180"/>
        <w:ind w:left="0" w:right="0" w:hanging="180"/>
        <w:jc w:val="both"/>
        <w:rPr/>
      </w:pPr>
      <w:r>
        <w:rPr>
          <w:color w:val="000000"/>
        </w:rPr>
        <w:t>•</w:t>
      </w:r>
      <w:r>
        <w:rPr>
          <w:rFonts w:ascii="Times New Roman;serif" w:hAnsi="Times New Roman;serif"/>
          <w:b w:val="false"/>
          <w:color w:val="000000"/>
          <w:sz w:val="20"/>
        </w:rPr>
        <w:t>foreign exchange and other gains of $2.2 million for the three months ended March 31, 2026, compared to foreign exchange and other losses of $0.0 million for the same period in 2025, primarily due to appreciation of the U.S dollar on the re-measurement of net loss reserves and insurance related liabilities denominated in the British pound and euro.</w:t>
      </w:r>
    </w:p>
    <w:p>
      <w:pPr>
        <w:pStyle w:val="TextBody"/>
        <w:bidi w:val="0"/>
        <w:spacing w:lineRule="auto" w:line="240" w:before="0" w:after="120"/>
        <w:jc w:val="left"/>
        <w:rPr>
          <w:rFonts w:ascii="Times New Roman;serif" w:hAnsi="Times New Roman;serif"/>
          <w:b/>
          <w:i/>
          <w:color w:val="000000"/>
          <w:sz w:val="20"/>
        </w:rPr>
      </w:pPr>
      <w:r>
        <w:rPr>
          <w:rFonts w:ascii="Times New Roman;serif" w:hAnsi="Times New Roman;serif"/>
          <w:b/>
          <w:i/>
          <w:color w:val="000000"/>
          <w:sz w:val="20"/>
        </w:rPr>
        <w:t xml:space="preserve">Net Premiums Written </w:t>
      </w:r>
    </w:p>
    <w:p>
      <w:pPr>
        <w:pStyle w:val="TextBody"/>
        <w:bidi w:val="0"/>
        <w:spacing w:lineRule="auto" w:line="240" w:before="0" w:after="0"/>
        <w:ind w:left="0" w:right="0" w:firstLine="135"/>
        <w:jc w:val="both"/>
        <w:rPr>
          <w:rFonts w:ascii="Times New Roman;serif" w:hAnsi="Times New Roman;serif"/>
          <w:b w:val="false"/>
          <w:color w:val="000000"/>
          <w:sz w:val="20"/>
        </w:rPr>
      </w:pPr>
      <w:r>
        <w:rPr>
          <w:rFonts w:ascii="Times New Roman;serif" w:hAnsi="Times New Roman;serif"/>
          <w:b w:val="false"/>
          <w:color w:val="000000"/>
          <w:sz w:val="20"/>
        </w:rPr>
        <w:t xml:space="preserve">Net premiums written by our reportable segment, reconciled to the total consolidated net premiums written for the three months ended March 31, 2026 and 2025 are detailed below: </w:t>
      </w:r>
    </w:p>
    <w:tbl>
      <w:tblPr>
        <w:tblW w:w="8289" w:type="dxa"/>
        <w:jc w:val="left"/>
        <w:tblInd w:w="0" w:type="dxa"/>
        <w:tblLayout w:type="fixed"/>
        <w:tblCellMar>
          <w:top w:w="28" w:type="dxa"/>
          <w:left w:w="28" w:type="dxa"/>
          <w:bottom w:w="28" w:type="dxa"/>
          <w:right w:w="28" w:type="dxa"/>
        </w:tblCellMar>
      </w:tblPr>
      <w:tblGrid>
        <w:gridCol w:w="1188"/>
        <w:gridCol w:w="1043"/>
        <w:gridCol w:w="1053"/>
        <w:gridCol w:w="109"/>
        <w:gridCol w:w="109"/>
        <w:gridCol w:w="109"/>
        <w:gridCol w:w="211"/>
        <w:gridCol w:w="616"/>
        <w:gridCol w:w="109"/>
        <w:gridCol w:w="109"/>
        <w:gridCol w:w="466"/>
        <w:gridCol w:w="165"/>
        <w:gridCol w:w="165"/>
        <w:gridCol w:w="166"/>
        <w:gridCol w:w="244"/>
        <w:gridCol w:w="470"/>
        <w:gridCol w:w="126"/>
        <w:gridCol w:w="109"/>
        <w:gridCol w:w="196"/>
        <w:gridCol w:w="109"/>
        <w:gridCol w:w="109"/>
        <w:gridCol w:w="109"/>
        <w:gridCol w:w="211"/>
        <w:gridCol w:w="616"/>
        <w:gridCol w:w="109"/>
        <w:gridCol w:w="109"/>
        <w:gridCol w:w="154"/>
      </w:tblGrid>
      <w:tr>
        <w:trPr/>
        <w:tc>
          <w:tcPr>
            <w:tcW w:w="1188"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in</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26" w:type="dxa"/>
            <w:gridSpan w:val="8"/>
            <w:tcBorders/>
          </w:tcPr>
          <w:p>
            <w:pPr>
              <w:pStyle w:val="TableContents"/>
              <w:bidi w:val="0"/>
              <w:spacing w:before="0" w:after="283"/>
              <w:jc w:val="left"/>
              <w:rPr>
                <w:sz w:val="4"/>
                <w:szCs w:val="4"/>
              </w:rPr>
            </w:pPr>
            <w:r>
              <w:rPr>
                <w:sz w:val="4"/>
                <w:szCs w:val="4"/>
              </w:rPr>
            </w:r>
          </w:p>
        </w:tc>
      </w:tr>
      <w:tr>
        <w:trPr/>
        <w:tc>
          <w:tcPr>
            <w:tcW w:w="3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840" w:type="dxa"/>
            <w:gridSpan w:val="3"/>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ind w:left="0" w:right="0" w:hanging="135"/>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8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Diversified Legacy Business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AmTrust Reinsurance Legacy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28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Legacy Reinsurance Segment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1831" w:type="dxa"/>
            <w:gridSpan w:val="10"/>
            <w:tcBorders/>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Net premiums written for the three months ended March 31, 2026 increased to $2.7 million which was split as follows:</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 xml:space="preserve">Premiums written in Diversified Reinsurance legacy business was $0.8 million for the three months ended March 31, 2026. As discussed in </w:t>
      </w:r>
      <w:r>
        <w:rPr>
          <w:rFonts w:ascii="Times New Roman;serif" w:hAnsi="Times New Roman;serif"/>
          <w:b w:val="false"/>
          <w:i/>
          <w:color w:val="000000"/>
          <w:sz w:val="20"/>
        </w:rPr>
        <w:t>Note 14. Assets Held for Sale</w:t>
      </w:r>
      <w:r>
        <w:rPr>
          <w:color w:val="000000"/>
        </w:rPr>
        <w:t xml:space="preserve"> </w:t>
      </w:r>
      <w:r>
        <w:rPr>
          <w:rFonts w:ascii="Times New Roman;serif" w:hAnsi="Times New Roman;serif"/>
          <w:b w:val="false"/>
          <w:color w:val="000000"/>
          <w:sz w:val="20"/>
        </w:rPr>
        <w:t xml:space="preserve">of the Notes to Condensed Consolidated Financial Statements in Part I Item 1. </w:t>
      </w:r>
      <w:r>
        <w:rPr>
          <w:rFonts w:ascii="Times New Roman;serif" w:hAnsi="Times New Roman;serif"/>
          <w:b w:val="false"/>
          <w:i/>
          <w:color w:val="000000"/>
          <w:sz w:val="20"/>
        </w:rPr>
        <w:t>"Financial Information",</w:t>
      </w:r>
      <w:r>
        <w:rPr>
          <w:color w:val="000000"/>
        </w:rPr>
        <w:t xml:space="preserve"> </w:t>
      </w:r>
      <w:r>
        <w:rPr>
          <w:rFonts w:ascii="Times New Roman;serif" w:hAnsi="Times New Roman;serif"/>
          <w:b w:val="false"/>
          <w:color w:val="000000"/>
          <w:sz w:val="20"/>
        </w:rPr>
        <w:t>Maiden LF and Maiden GF are no longer writing new business and the non-underwriting related assets and liabilities of Maiden GF are presented as held-for-sale in our condensed consolidated financial statements. Maiden LF has been recently placed into run-off operations and its assets and liabilities are no longer considered as held for sale at March 31, 2026.</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Premiums written in AmTrust Reinsurance legacy business was $1.9 million for the three months ended March 31, 2026, which emanated from premium adjustments to the AmTrust Quota Share, terminated effective January 1, 2019.</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Please refer to the analysis below of our Diversified Reinsurance and AmTrust Reinsurance Legacy Business in the Legacy Reinsurance segment for further details.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Net Premiums Earned </w:t>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Net premiums earned for the three months ended March 31, 2026 were $3.2 million. Net premiums earned by our reportable segment, reconciled to the total consolidated net premiums earned, for the three months ended March 31, 2026 and 2025 are detailed as follows:</w:t>
      </w:r>
    </w:p>
    <w:tbl>
      <w:tblPr>
        <w:tblW w:w="8489" w:type="dxa"/>
        <w:jc w:val="left"/>
        <w:tblInd w:w="0" w:type="dxa"/>
        <w:tblLayout w:type="fixed"/>
        <w:tblCellMar>
          <w:top w:w="28" w:type="dxa"/>
          <w:left w:w="28" w:type="dxa"/>
          <w:bottom w:w="28" w:type="dxa"/>
          <w:right w:w="28" w:type="dxa"/>
        </w:tblCellMar>
      </w:tblPr>
      <w:tblGrid>
        <w:gridCol w:w="1258"/>
        <w:gridCol w:w="1105"/>
        <w:gridCol w:w="1116"/>
        <w:gridCol w:w="109"/>
        <w:gridCol w:w="109"/>
        <w:gridCol w:w="109"/>
        <w:gridCol w:w="211"/>
        <w:gridCol w:w="616"/>
        <w:gridCol w:w="109"/>
        <w:gridCol w:w="109"/>
        <w:gridCol w:w="109"/>
        <w:gridCol w:w="109"/>
        <w:gridCol w:w="109"/>
        <w:gridCol w:w="109"/>
        <w:gridCol w:w="211"/>
        <w:gridCol w:w="406"/>
        <w:gridCol w:w="109"/>
        <w:gridCol w:w="109"/>
        <w:gridCol w:w="841"/>
        <w:gridCol w:w="109"/>
        <w:gridCol w:w="109"/>
        <w:gridCol w:w="109"/>
        <w:gridCol w:w="211"/>
        <w:gridCol w:w="616"/>
        <w:gridCol w:w="109"/>
        <w:gridCol w:w="109"/>
        <w:gridCol w:w="154"/>
      </w:tblGrid>
      <w:tr>
        <w:trPr/>
        <w:tc>
          <w:tcPr>
            <w:tcW w:w="1258"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in</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47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Diversified Reinsurance Legacy Business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AmTrust Reinsurance Legacy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47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Legacy Reinsurance Segment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26" w:type="dxa"/>
            <w:gridSpan w:val="8"/>
            <w:tcBorders/>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60" w:after="120"/>
        <w:jc w:val="both"/>
        <w:rPr>
          <w:rFonts w:ascii="Times New Roman;serif" w:hAnsi="Times New Roman;serif"/>
          <w:b w:val="false"/>
          <w:color w:val="000000"/>
          <w:sz w:val="20"/>
        </w:rPr>
      </w:pPr>
      <w:r>
        <w:rPr>
          <w:rFonts w:ascii="Times New Roman;serif" w:hAnsi="Times New Roman;serif"/>
          <w:b w:val="false"/>
          <w:color w:val="000000"/>
          <w:sz w:val="20"/>
        </w:rPr>
        <w:t>Net premiums earned under Diversified Reinsurance legacy business for the three months ended March 31, 2026 were $0.9 million. Maiden LF and Maiden GF continue to earn premiums but are no longer writing new business and the non-underwriting related assets and liabilities of Maiden GF are presented as held-for-sale in our condensed consolidated financial statements as discussed above. Maiden LF has been placed into run-off operations and its assets and liabilities are no longer considered as held for sale at March 31, 2026.</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Net premiums earned under AmTrust Reinsurance legacy business for the three months ended March 31, 2026 were $2.3 million. This was earned entirely under the AmTrust Quota Share. Please refer to the analysis below of our Diversified Reinsurance and AmTrust Reinsurance under the Maiden Legacy segment further below for further details.</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Fee Revenue </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Fee Revenue is primarily produced by our Program Services segment. Revenue is measured as the amount of consideration Kestrel expects to receive in exchange for providing services to its customer and is generally governed by its managed service agreement. This agreement outlines the structure of the Authorized Program for which Kestrel oversees the placement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40" w:before="60" w:after="120"/>
        <w:jc w:val="both"/>
        <w:rPr>
          <w:rFonts w:ascii="Times New Roman;serif" w:hAnsi="Times New Roman;serif"/>
          <w:b w:val="false"/>
          <w:color w:val="000000"/>
          <w:sz w:val="20"/>
        </w:rPr>
      </w:pPr>
      <w:r>
        <w:rPr>
          <w:rFonts w:ascii="Times New Roman;serif" w:hAnsi="Times New Roman;serif"/>
          <w:b w:val="false"/>
          <w:color w:val="000000"/>
          <w:sz w:val="20"/>
        </w:rPr>
        <w:t>effective insurance policies in exchange for a fee. These agreements may also include other provisions, such as minimum fee arrangements or cancellation provisions, which may impact revenue recognition.</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Capacity distribution fees are collected from program managers or MGAs for the placement of effective insurance policies on behalf of our customer, which is considered a single performance obligation. Support services provided for these insurance and reinsurance brokerage arrangements include compliance and regulatory reporting and administrative support which culminate in the placement of bound insurance coverage.</w:t>
      </w:r>
    </w:p>
    <w:p>
      <w:pPr>
        <w:pStyle w:val="TextBody"/>
        <w:bidi w:val="0"/>
        <w:spacing w:lineRule="auto" w:line="228" w:before="60" w:after="120"/>
        <w:ind w:left="0" w:right="0" w:firstLine="270"/>
        <w:jc w:val="both"/>
        <w:rPr/>
      </w:pPr>
      <w:r>
        <w:rPr>
          <w:rFonts w:ascii="Times New Roman;serif" w:hAnsi="Times New Roman;serif"/>
          <w:b w:val="false"/>
          <w:color w:val="000000"/>
          <w:sz w:val="20"/>
        </w:rPr>
        <w:t xml:space="preserve">Fee revenue earned for the three months ended March 31, 2026 was $3.1 million, compared to $0.8 million for the same period in 2025. The increase was primarily due to increased premium volume from both new and existing client programs. Premium produced by client programs for the three months ended March 31, 2026 was $94.2 million, compared to $23.3 million for the same period in 2025. Premium produced by client programs is an operating metric determined by management as a byproduct of the program services fees it earns and is paid by clients; please see </w:t>
      </w:r>
      <w:r>
        <w:rPr>
          <w:rFonts w:ascii="Times New Roman;serif" w:hAnsi="Times New Roman;serif"/>
          <w:b w:val="false"/>
          <w:i/>
          <w:color w:val="000000"/>
          <w:sz w:val="20"/>
        </w:rPr>
        <w:t>Key Financial &amp; Operating Measures</w:t>
      </w:r>
      <w:r>
        <w:rPr>
          <w:color w:val="000000"/>
        </w:rPr>
        <w:t xml:space="preserve"> </w:t>
      </w:r>
      <w:r>
        <w:rPr>
          <w:rFonts w:ascii="Times New Roman;serif" w:hAnsi="Times New Roman;serif"/>
          <w:b w:val="false"/>
          <w:color w:val="000000"/>
          <w:sz w:val="20"/>
        </w:rPr>
        <w:t>for further explanation.</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Net Investment Income</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Net investment income for the three months ended March 31, 2026 increased by $2.5 million, compared to the same period in 2025 due to the inclusion of Maiden's legacy fixed income and alternative investment portfolios in connection with the Combination.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Annualized average book yields increased to 3.6% for the three months ended March 31, 2026, compared to 3.5% for the same period in 2025. Net interest income from our loan receivable from related party was $1.1 million for the three months ended March 31, 2026. The net loan receivable from related party had an average balance of $82.7 million and carried a weighted average interest rate of 5.5% for the three months ended March 31, 2026. Floating rate investments comprised 40.2% of our total fixed income investments at March 31, 2026 compared to 52.0% at December 31, 2025.</w:t>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details our average aggregate fixed income assets (at cost) and annualized investment book yield for the three months ended March 31, 2026 and 2025: </w:t>
      </w:r>
    </w:p>
    <w:tbl>
      <w:tblPr>
        <w:tblW w:w="7872" w:type="dxa"/>
        <w:jc w:val="center"/>
        <w:tblInd w:w="0" w:type="dxa"/>
        <w:tblLayout w:type="fixed"/>
        <w:tblCellMar>
          <w:top w:w="28" w:type="dxa"/>
          <w:left w:w="28" w:type="dxa"/>
          <w:bottom w:w="28" w:type="dxa"/>
          <w:right w:w="28" w:type="dxa"/>
        </w:tblCellMar>
      </w:tblPr>
      <w:tblGrid>
        <w:gridCol w:w="1479"/>
        <w:gridCol w:w="1299"/>
        <w:gridCol w:w="1302"/>
        <w:gridCol w:w="109"/>
        <w:gridCol w:w="109"/>
        <w:gridCol w:w="109"/>
        <w:gridCol w:w="265"/>
        <w:gridCol w:w="775"/>
        <w:gridCol w:w="341"/>
        <w:gridCol w:w="137"/>
        <w:gridCol w:w="137"/>
        <w:gridCol w:w="137"/>
        <w:gridCol w:w="265"/>
        <w:gridCol w:w="586"/>
        <w:gridCol w:w="341"/>
        <w:gridCol w:w="109"/>
        <w:gridCol w:w="109"/>
        <w:gridCol w:w="109"/>
        <w:gridCol w:w="154"/>
      </w:tblGrid>
      <w:tr>
        <w:trPr/>
        <w:tc>
          <w:tcPr>
            <w:tcW w:w="147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Annualized income from fixed income assets</w:t>
            </w:r>
            <w:r>
              <w:rPr>
                <w:color w:val="000000"/>
              </w:rPr>
              <w:t> </w:t>
            </w:r>
            <w:r>
              <w:rPr>
                <w:rFonts w:ascii="Times New Roman;serif" w:hAnsi="Times New Roman;serif"/>
                <w:b w:val="false"/>
                <w:color w:val="000000"/>
                <w:sz w:val="13"/>
              </w:rPr>
              <w:t>(1)</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9,872 </w:t>
            </w:r>
          </w:p>
        </w:tc>
        <w:tc>
          <w:tcPr>
            <w:tcW w:w="34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34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aggregate fixed income assets, at cost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276,690 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Annualized investment book yield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4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4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(1)Annualized income from fixed income assets includes annualized interest income from our available-for-sale ("AFS") portfolio, cash and restricted cash, funds withheld receivable, and net loan receivable from related party and is based on amounts disclosed in our quarterly U.S. GAAP consolidated financial statements. </w:t>
      </w:r>
    </w:p>
    <w:p>
      <w:pPr>
        <w:pStyle w:val="TextBody"/>
        <w:bidi w:val="0"/>
        <w:spacing w:lineRule="auto" w:line="240" w:before="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(2)Average aggregate fixed income assets include AFS portfolio, cash and restricted cash, funds withheld receivable, and net loan receivable from related party and is computed as an average of the amounts disclosed in our quarterly U.S. GAAP consolidated financial statements.</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Net Realized and Unrealized Investment Gains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Net realized and unrealized investment gains of $1.3 million were recognized for the three months ended March 31, 2026. Net realized and unrealized investment gains for the three months ended March 31, 2026 are summarized in the table below by investment category: </w:t>
      </w:r>
    </w:p>
    <w:tbl>
      <w:tblPr>
        <w:tblW w:w="6155" w:type="dxa"/>
        <w:jc w:val="left"/>
        <w:tblInd w:w="0" w:type="dxa"/>
        <w:tblLayout w:type="fixed"/>
        <w:tblCellMar>
          <w:top w:w="28" w:type="dxa"/>
          <w:left w:w="28" w:type="dxa"/>
          <w:bottom w:w="28" w:type="dxa"/>
          <w:right w:w="28" w:type="dxa"/>
        </w:tblCellMar>
      </w:tblPr>
      <w:tblGrid>
        <w:gridCol w:w="1410"/>
        <w:gridCol w:w="1239"/>
        <w:gridCol w:w="1250"/>
        <w:gridCol w:w="109"/>
        <w:gridCol w:w="109"/>
        <w:gridCol w:w="109"/>
        <w:gridCol w:w="109"/>
        <w:gridCol w:w="109"/>
        <w:gridCol w:w="109"/>
        <w:gridCol w:w="109"/>
        <w:gridCol w:w="277"/>
        <w:gridCol w:w="810"/>
        <w:gridCol w:w="143"/>
        <w:gridCol w:w="109"/>
        <w:gridCol w:w="154"/>
      </w:tblGrid>
      <w:tr>
        <w:trPr/>
        <w:tc>
          <w:tcPr>
            <w:tcW w:w="1410"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2" w:type="dxa"/>
            <w:gridSpan w:val="6"/>
            <w:tcBorders/>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realized gains: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realized gains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43"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unrealized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14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unrealized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realized and unrealized investment gains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1,339 </w:t>
            </w:r>
          </w:p>
        </w:tc>
        <w:tc>
          <w:tcPr>
            <w:tcW w:w="143"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Net unrealized gains for other investments in the three months ended March 31, 2026 reflect fair value adjustments in the Maiden legacy alternative investment portfolio during the reporting period.</w:t>
      </w:r>
    </w:p>
    <w:p>
      <w:pPr>
        <w:pStyle w:val="TextBody"/>
        <w:bidi w:val="0"/>
        <w:spacing w:lineRule="auto" w:line="240" w:before="120" w:after="120"/>
        <w:jc w:val="both"/>
        <w:rPr>
          <w:rFonts w:ascii="Times New Roman;serif" w:hAnsi="Times New Roman;serif"/>
          <w:b/>
          <w:i/>
          <w:color w:val="000000"/>
          <w:sz w:val="20"/>
        </w:rPr>
      </w:pPr>
      <w:r>
        <w:rPr>
          <w:rFonts w:ascii="Times New Roman;serif" w:hAnsi="Times New Roman;serif"/>
          <w:b/>
          <w:i/>
          <w:color w:val="000000"/>
          <w:sz w:val="20"/>
        </w:rPr>
        <w:t>Net Loss and LAE</w:t>
      </w:r>
    </w:p>
    <w:p>
      <w:pPr>
        <w:pStyle w:val="TextBody"/>
        <w:bidi w:val="0"/>
        <w:spacing w:lineRule="auto" w:line="240" w:before="0" w:after="12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Net loss and LAE incurred for the three months ended March 31, 2026 were $2.3 million. Net incurred losses were impacted by net adverse PPD of $0.3 million for the three months ended March 31, 2026. Excluding the impact of PPD, current year losses were $2.0 million for the three months ended March 31, 2026. The net PPD is discussed in greater detail in the Legacy Reinsurance segment discussion and analysis and is entirely associated with the run-off of unearned premium for terminated reinsurance contracts in the legacy reinsurance operations. The cessation of active reinsurance underwriting on prospective risks included the termination of the AmTrust Quota Share and European Hospital Liability Quota Share effective January 1, 2019.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Commission and Other Acquisition Expenses</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Commission and other acquisition expenses incurred for the three months ended March 31, 2026 were $1.5 million. Please see the Legacy Reinsurance segment analysis below for further information.</w:t>
      </w:r>
    </w:p>
    <w:p>
      <w:pPr>
        <w:pStyle w:val="TextBody"/>
        <w:bidi w:val="0"/>
        <w:spacing w:lineRule="auto" w:line="240" w:before="0" w:after="120"/>
        <w:jc w:val="left"/>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include corporate expenses and segment expenses segregated for analytical purposes as a component of underwriting income. Total general and administrative expenses incurred for the three months ended March 31, 2026 increased by $10.6 million, compared to the same period in 2025 primarily due to the inclusion of Maiden's operations subsequent to May 27, 2025 as a result of the Combination.</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for the three months ended March 31, 2026 and 2025 were comprised of:</w:t>
      </w:r>
    </w:p>
    <w:tbl>
      <w:tblPr>
        <w:tblW w:w="8887" w:type="dxa"/>
        <w:jc w:val="left"/>
        <w:tblInd w:w="0" w:type="dxa"/>
        <w:tblLayout w:type="fixed"/>
        <w:tblCellMar>
          <w:top w:w="28" w:type="dxa"/>
          <w:left w:w="28" w:type="dxa"/>
          <w:bottom w:w="28" w:type="dxa"/>
          <w:right w:w="28" w:type="dxa"/>
        </w:tblCellMar>
      </w:tblPr>
      <w:tblGrid>
        <w:gridCol w:w="1466"/>
        <w:gridCol w:w="1286"/>
        <w:gridCol w:w="1298"/>
        <w:gridCol w:w="109"/>
        <w:gridCol w:w="109"/>
        <w:gridCol w:w="109"/>
        <w:gridCol w:w="109"/>
        <w:gridCol w:w="109"/>
        <w:gridCol w:w="258"/>
        <w:gridCol w:w="258"/>
        <w:gridCol w:w="500"/>
        <w:gridCol w:w="1710"/>
        <w:gridCol w:w="258"/>
        <w:gridCol w:w="109"/>
        <w:gridCol w:w="109"/>
        <w:gridCol w:w="109"/>
        <w:gridCol w:w="211"/>
        <w:gridCol w:w="616"/>
        <w:gridCol w:w="154"/>
      </w:tblGrid>
      <w:tr>
        <w:trPr/>
        <w:tc>
          <w:tcPr>
            <w:tcW w:w="146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5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 segments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4,225 </w:t>
            </w:r>
          </w:p>
        </w:tc>
        <w:tc>
          <w:tcPr>
            <w:tcW w:w="25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 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7,518 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Total general and administrative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0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11,743 </w:t>
            </w:r>
          </w:p>
        </w:tc>
        <w:tc>
          <w:tcPr>
            <w:tcW w:w="258"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1,143 </w:t>
            </w:r>
          </w:p>
        </w:tc>
        <w:tc>
          <w:tcPr>
            <w:tcW w:w="15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0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Corporate expenses for the three months ended March 31, 2026 were driven by higher compensation costs, legal fees, and professional fees. Expenses incurred this period that will not be recurring through the remainder of 2026 include certain compensation costs of $1.6 million and the vesting of certain stock-based awards of $1.4 million for the three months ended March 31, 2026 compared to $0.0 million for the same period in 2025.</w:t>
      </w:r>
    </w:p>
    <w:p>
      <w:pPr>
        <w:pStyle w:val="TextBody"/>
        <w:bidi w:val="0"/>
        <w:spacing w:lineRule="auto" w:line="240" w:before="100" w:after="120"/>
        <w:jc w:val="both"/>
        <w:rPr>
          <w:rFonts w:ascii="Times New Roman;serif" w:hAnsi="Times New Roman;serif"/>
          <w:b/>
          <w:i/>
          <w:color w:val="000000"/>
          <w:sz w:val="20"/>
        </w:rPr>
      </w:pPr>
      <w:r>
        <w:rPr>
          <w:rFonts w:ascii="Times New Roman;serif" w:hAnsi="Times New Roman;serif"/>
          <w:b/>
          <w:i/>
          <w:color w:val="000000"/>
          <w:sz w:val="20"/>
        </w:rPr>
        <w:t>Interest and Amortization Expenses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Total interest and amortization expenses incurred for the three months ended March 31, 2026 were $3.9 million which included:</w:t>
      </w:r>
    </w:p>
    <w:p>
      <w:pPr>
        <w:pStyle w:val="TextBody"/>
        <w:bidi w:val="0"/>
        <w:spacing w:lineRule="auto" w:line="240" w:before="60" w:after="120"/>
        <w:ind w:left="0" w:right="0" w:hanging="90"/>
        <w:jc w:val="both"/>
        <w:rPr/>
      </w:pPr>
      <w:r>
        <w:rPr>
          <w:color w:val="000000"/>
        </w:rPr>
        <w:t>•</w:t>
      </w:r>
      <w:r>
        <w:rPr>
          <w:rFonts w:ascii="Times New Roman;serif" w:hAnsi="Times New Roman;serif"/>
          <w:b w:val="false"/>
          <w:color w:val="000000"/>
          <w:sz w:val="20"/>
        </w:rPr>
        <w:t>Interest expense of $4.8 million on the outstanding senior notes issued by Maiden in 2016 and Maiden Holdings North America, Ltd. ("Maiden NA") in 2013 ("Senior Notes") in the three months ended March 31, 2026, that were acquired upon completion of the merger; and</w:t>
      </w:r>
    </w:p>
    <w:p>
      <w:pPr>
        <w:pStyle w:val="TextBody"/>
        <w:bidi w:val="0"/>
        <w:spacing w:lineRule="auto" w:line="240" w:before="60" w:after="120"/>
        <w:ind w:left="0" w:right="0" w:hanging="90"/>
        <w:jc w:val="both"/>
        <w:rPr/>
      </w:pPr>
      <w:r>
        <w:rPr>
          <w:color w:val="000000"/>
        </w:rPr>
        <w:t>•</w:t>
      </w:r>
      <w:r>
        <w:rPr>
          <w:rFonts w:ascii="Times New Roman;serif" w:hAnsi="Times New Roman;serif"/>
          <w:b w:val="false"/>
          <w:color w:val="000000"/>
          <w:sz w:val="20"/>
        </w:rPr>
        <w:t>Amortization expense for the fair value adjustment on the Senior Notes was $0.3 million for the three months ended March 31, 2026. The difference between the principal amount of the acquired Senior Notes and their fair market value at closing of the Combination is being amortized over those securities' remaining life; which was partially offset by:</w:t>
      </w:r>
    </w:p>
    <w:p>
      <w:pPr>
        <w:pStyle w:val="TextBody"/>
        <w:bidi w:val="0"/>
        <w:spacing w:lineRule="auto" w:line="240" w:before="60" w:after="120"/>
        <w:ind w:left="0" w:right="0" w:hanging="90"/>
        <w:jc w:val="both"/>
        <w:rPr/>
      </w:pPr>
      <w:r>
        <w:rPr>
          <w:color w:val="000000"/>
        </w:rPr>
        <w:t>•</w:t>
      </w:r>
      <w:r>
        <w:rPr>
          <w:rFonts w:ascii="Times New Roman;serif" w:hAnsi="Times New Roman;serif"/>
          <w:b w:val="false"/>
          <w:color w:val="000000"/>
          <w:sz w:val="20"/>
        </w:rPr>
        <w:t>Amortization income for the fair value adjustment of $1.2 million for the net loan receivable from related party for the three months ended March 31, 2026.</w:t>
      </w:r>
    </w:p>
    <w:p>
      <w:pPr>
        <w:pStyle w:val="TextBody"/>
        <w:bidi w:val="0"/>
        <w:spacing w:lineRule="auto" w:line="240" w:before="0" w:after="120"/>
        <w:ind w:left="0" w:right="0" w:firstLine="270"/>
        <w:jc w:val="both"/>
        <w:rPr/>
      </w:pPr>
      <w:r>
        <w:rPr>
          <w:rFonts w:ascii="Times New Roman;serif" w:hAnsi="Times New Roman;serif"/>
          <w:b w:val="false"/>
          <w:color w:val="000000"/>
          <w:sz w:val="20"/>
        </w:rPr>
        <w:t>Please refer to "</w:t>
      </w:r>
      <w:r>
        <w:rPr>
          <w:rFonts w:ascii="Times New Roman;serif" w:hAnsi="Times New Roman;serif"/>
          <w:b w:val="false"/>
          <w:i/>
          <w:color w:val="000000"/>
          <w:sz w:val="20"/>
        </w:rPr>
        <w:t>Notes to Condensed Consolidated Financial Statements (unaudited) Note 7. Long Term Debt</w:t>
      </w:r>
      <w:r>
        <w:rPr>
          <w:rFonts w:ascii="Times New Roman;serif" w:hAnsi="Times New Roman;serif"/>
          <w:b w:val="false"/>
          <w:color w:val="000000"/>
          <w:sz w:val="20"/>
        </w:rPr>
        <w:t>" for further details on the Senior Notes. The weighted average effective interest rate for the Senior Notes was 11.7% for the three months ended March 31, 2026.</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Foreign Exchange and Other Gains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Foreign currency fluctuations are primarily driven by exposures to euro, British pound and other non-USD denominated net loss reserves and insurance related liabilities in excess of foreign currency assets in our Legacy Reinsurance segment. Net foreign exchange and other gains of $2.2 million were realized for the three months ended March 31, 2026, compared to net foreign exchange and other losses of $0.0 million for the same period in 2025.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Foreign exchange and other gains for the three months ended March 31, 2026 included a revaluation gain of $0.2 million on a contingent receivable held in relation to an equity investment in the insurance distribution industry that was sold prior to the Combination. Under ASC 805, the earn out consideration for this contingent receivable is adjusted to fair value at each reporting period with any changes in fair value reported immediately in net income through foreign exchange and other gains.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net foreign exchange gains of $2.0 million were attributable to appreciation of the U.S. dollar on the re-measurement of net loss reserves and insurance related liabilities denominated in the British pound and euro. Our non-USD denominated liabilities at March 31, 2026 included net loss reserves of $254.4 million. Our foreign currency asset exposures at March 31, 2026 included $97.4 million of fixed maturity euro denominated bonds managed by our investment managers who have the discretion to hold foreign currency exposures as part of their total return strategy, $33.5 million of real estate investments denominated in Canadian dollars, as well as $7.4 million of funds withheld receivable denominated in various non-USD currencies. </w:t>
      </w:r>
    </w:p>
    <w:p>
      <w:pPr>
        <w:pStyle w:val="TextBody"/>
        <w:bidi w:val="0"/>
        <w:spacing w:before="0" w:after="120"/>
        <w:jc w:val="both"/>
        <w:rPr/>
      </w:pPr>
      <w:r>
        <w:rPr/>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28" w:before="0" w:after="120"/>
        <w:jc w:val="both"/>
        <w:rPr>
          <w:rFonts w:ascii="Times New Roman;serif" w:hAnsi="Times New Roman;serif"/>
          <w:b/>
          <w:color w:val="000000"/>
          <w:sz w:val="20"/>
        </w:rPr>
      </w:pPr>
      <w:r>
        <w:rPr>
          <w:rFonts w:ascii="Times New Roman;serif" w:hAnsi="Times New Roman;serif"/>
          <w:b/>
          <w:color w:val="000000"/>
          <w:sz w:val="20"/>
        </w:rPr>
        <w:t>Results by Reportable Segment</w:t>
      </w:r>
    </w:p>
    <w:p>
      <w:pPr>
        <w:pStyle w:val="TextBody"/>
        <w:bidi w:val="0"/>
        <w:spacing w:lineRule="auto" w:line="228" w:before="0" w:after="120"/>
        <w:jc w:val="left"/>
        <w:rPr>
          <w:rFonts w:ascii="Times New Roman;serif" w:hAnsi="Times New Roman;serif"/>
          <w:b/>
          <w:color w:val="000000"/>
          <w:sz w:val="20"/>
        </w:rPr>
      </w:pPr>
      <w:r>
        <w:rPr>
          <w:rFonts w:ascii="Times New Roman;serif" w:hAnsi="Times New Roman;serif"/>
          <w:b/>
          <w:color w:val="000000"/>
          <w:sz w:val="20"/>
        </w:rPr>
        <w:t>Program Services Segment</w:t>
      </w:r>
    </w:p>
    <w:p>
      <w:pPr>
        <w:pStyle w:val="TextBody"/>
        <w:bidi w:val="0"/>
        <w:spacing w:lineRule="auto" w:line="228"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segment results for Program Services for the three months ended March 31, 2026 and 2025 were as follows: </w:t>
      </w:r>
    </w:p>
    <w:tbl>
      <w:tblPr>
        <w:tblW w:w="6881" w:type="dxa"/>
        <w:jc w:val="center"/>
        <w:tblInd w:w="0" w:type="dxa"/>
        <w:tblLayout w:type="fixed"/>
        <w:tblCellMar>
          <w:top w:w="28" w:type="dxa"/>
          <w:left w:w="28" w:type="dxa"/>
          <w:bottom w:w="28" w:type="dxa"/>
          <w:right w:w="28" w:type="dxa"/>
        </w:tblCellMar>
      </w:tblPr>
      <w:tblGrid>
        <w:gridCol w:w="1120"/>
        <w:gridCol w:w="984"/>
        <w:gridCol w:w="986"/>
        <w:gridCol w:w="109"/>
        <w:gridCol w:w="109"/>
        <w:gridCol w:w="109"/>
        <w:gridCol w:w="261"/>
        <w:gridCol w:w="893"/>
        <w:gridCol w:w="135"/>
        <w:gridCol w:w="135"/>
        <w:gridCol w:w="135"/>
        <w:gridCol w:w="135"/>
        <w:gridCol w:w="261"/>
        <w:gridCol w:w="893"/>
        <w:gridCol w:w="135"/>
        <w:gridCol w:w="109"/>
        <w:gridCol w:w="109"/>
        <w:gridCol w:w="109"/>
        <w:gridCol w:w="154"/>
      </w:tblGrid>
      <w:tr>
        <w:trPr/>
        <w:tc>
          <w:tcPr>
            <w:tcW w:w="112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val="false"/>
                <w:color w:val="000000"/>
                <w:sz w:val="20"/>
              </w:rPr>
              <w:t>Premium produced</w:t>
            </w:r>
            <w:r>
              <w:rPr>
                <w:rFonts w:ascii="Times New Roman;serif" w:hAnsi="Times New Roman;serif"/>
                <w:b w:val="false"/>
                <w:color w:val="000000"/>
                <w:sz w:val="13"/>
              </w:rPr>
              <w:t>(1)</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94,221 </w:t>
            </w:r>
          </w:p>
        </w:tc>
        <w:tc>
          <w:tcPr>
            <w:tcW w:w="135"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23,343 </w:t>
            </w:r>
          </w:p>
        </w:tc>
        <w:tc>
          <w:tcPr>
            <w:tcW w:w="135"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3,120 </w:t>
            </w:r>
          </w:p>
        </w:tc>
        <w:tc>
          <w:tcPr>
            <w:tcW w:w="13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3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w:t>
            </w:r>
          </w:p>
        </w:tc>
        <w:tc>
          <w:tcPr>
            <w:tcW w:w="13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3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Fee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20"/>
        <w:ind w:left="0" w:right="0" w:firstLine="270"/>
        <w:jc w:val="both"/>
        <w:rPr/>
      </w:pPr>
      <w:r>
        <w:rPr>
          <w:rFonts w:ascii="Times New Roman;serif" w:hAnsi="Times New Roman;serif"/>
          <w:b w:val="false"/>
          <w:color w:val="000000"/>
          <w:sz w:val="18"/>
        </w:rPr>
        <w:t xml:space="preserve">(1) Premium produced by client programs is an operating metric determined by management as a byproduct of the program services fees it earns and is paid by clients; please see </w:t>
      </w:r>
      <w:r>
        <w:rPr>
          <w:rFonts w:ascii="Times New Roman;serif" w:hAnsi="Times New Roman;serif"/>
          <w:b w:val="false"/>
          <w:i/>
          <w:color w:val="000000"/>
          <w:sz w:val="18"/>
        </w:rPr>
        <w:t>Key Financial &amp; Operating Measures</w:t>
      </w:r>
      <w:r>
        <w:rPr>
          <w:color w:val="000000"/>
        </w:rPr>
        <w:t xml:space="preserve"> </w:t>
      </w:r>
      <w:r>
        <w:rPr>
          <w:rFonts w:ascii="Times New Roman;serif" w:hAnsi="Times New Roman;serif"/>
          <w:b w:val="false"/>
          <w:color w:val="000000"/>
          <w:sz w:val="18"/>
        </w:rPr>
        <w:t>for further explanation.</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Program Services segment results for the three months ended March 31, 2026 increased by $1.4 million, compared to the same period in 2025 due to increased premium volume produced by both new and existing client programs. The general and administrative expenses increased due to higher compensation expenses subsequent to the Combination as well as higher legal and professional services expenses.</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Program services revenue is presently highly concentrated due to capacity distribution agreements with two client programs representing 77.5% and 14.3% of total fee revenue earned in 2026, respectively. These two client programs represented 43.6% and 3.1% of fee revenue for the first quarter of 2025, respectively. The first program is a large, diversified capacity provider and our relationship with this client presently includes ten separate sub-programs (all of which produced revenue in 2026). No individual sub-program is greater than 35% of total earned fee revenue for the three months ended March 31, 2026.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Legacy Reinsurance Segment</w:t>
      </w:r>
    </w:p>
    <w:p>
      <w:pPr>
        <w:pStyle w:val="TextBody"/>
        <w:bidi w:val="0"/>
        <w:spacing w:lineRule="auto" w:line="228"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details underwriting results for the two components of our Legacy Reinsurance segment which is comprised of Diversified Reinsurance Legacy Business and the AmTrust Reinsurance Legacy Business. The underwriting results for our Legacy Reinsurance segment for the three months ended March 31, 2026 were as follows:</w:t>
      </w:r>
    </w:p>
    <w:tbl>
      <w:tblPr>
        <w:tblW w:w="5944" w:type="dxa"/>
        <w:jc w:val="center"/>
        <w:tblInd w:w="0" w:type="dxa"/>
        <w:tblLayout w:type="fixed"/>
        <w:tblCellMar>
          <w:top w:w="28" w:type="dxa"/>
          <w:left w:w="28" w:type="dxa"/>
          <w:bottom w:w="28" w:type="dxa"/>
          <w:right w:w="28" w:type="dxa"/>
        </w:tblCellMar>
      </w:tblPr>
      <w:tblGrid>
        <w:gridCol w:w="1334"/>
        <w:gridCol w:w="1172"/>
        <w:gridCol w:w="1183"/>
        <w:gridCol w:w="109"/>
        <w:gridCol w:w="109"/>
        <w:gridCol w:w="109"/>
        <w:gridCol w:w="109"/>
        <w:gridCol w:w="109"/>
        <w:gridCol w:w="109"/>
        <w:gridCol w:w="109"/>
        <w:gridCol w:w="256"/>
        <w:gridCol w:w="841"/>
        <w:gridCol w:w="132"/>
        <w:gridCol w:w="109"/>
        <w:gridCol w:w="154"/>
      </w:tblGrid>
      <w:tr>
        <w:trPr/>
        <w:tc>
          <w:tcPr>
            <w:tcW w:w="1334"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1" w:type="dxa"/>
            <w:gridSpan w:val="6"/>
            <w:tcBorders/>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2,655 </w:t>
            </w:r>
          </w:p>
        </w:tc>
        <w:tc>
          <w:tcPr>
            <w:tcW w:w="13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2,654 </w:t>
            </w:r>
          </w:p>
        </w:tc>
        <w:tc>
          <w:tcPr>
            <w:tcW w:w="13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3,157 </w:t>
            </w:r>
          </w:p>
        </w:tc>
        <w:tc>
          <w:tcPr>
            <w:tcW w:w="132"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loss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Commission and other acquisition expenses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w:t>
            </w:r>
          </w:p>
        </w:tc>
        <w:tc>
          <w:tcPr>
            <w:tcW w:w="13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Underwriting loss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w:t>
            </w:r>
          </w:p>
        </w:tc>
        <w:tc>
          <w:tcPr>
            <w:tcW w:w="132"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60" w:after="283"/>
        <w:jc w:val="both"/>
        <w:rPr/>
      </w:pPr>
      <w:r>
        <w:rPr>
          <w:rFonts w:ascii="Times New Roman;serif" w:hAnsi="Times New Roman;serif"/>
          <w:b/>
          <w:i/>
          <w:color w:val="000000"/>
          <w:sz w:val="20"/>
        </w:rPr>
        <w:t xml:space="preserve">Diversified Reinsurance Legacy Business: </w:t>
      </w:r>
      <w:r>
        <w:rPr>
          <w:rFonts w:ascii="Times New Roman;serif" w:hAnsi="Times New Roman;serif"/>
          <w:b w:val="false"/>
          <w:color w:val="000000"/>
          <w:sz w:val="20"/>
        </w:rPr>
        <w:t>The underwriting results for Diversified Reinsurance legacy business for the three months ended March 31, 2026 were as follows:</w:t>
      </w:r>
    </w:p>
    <w:tbl>
      <w:tblPr>
        <w:tblW w:w="5944" w:type="dxa"/>
        <w:jc w:val="center"/>
        <w:tblInd w:w="0" w:type="dxa"/>
        <w:tblLayout w:type="fixed"/>
        <w:tblCellMar>
          <w:top w:w="28" w:type="dxa"/>
          <w:left w:w="28" w:type="dxa"/>
          <w:bottom w:w="28" w:type="dxa"/>
          <w:right w:w="28" w:type="dxa"/>
        </w:tblCellMar>
      </w:tblPr>
      <w:tblGrid>
        <w:gridCol w:w="1334"/>
        <w:gridCol w:w="1172"/>
        <w:gridCol w:w="1183"/>
        <w:gridCol w:w="109"/>
        <w:gridCol w:w="109"/>
        <w:gridCol w:w="109"/>
        <w:gridCol w:w="109"/>
        <w:gridCol w:w="109"/>
        <w:gridCol w:w="109"/>
        <w:gridCol w:w="109"/>
        <w:gridCol w:w="301"/>
        <w:gridCol w:w="773"/>
        <w:gridCol w:w="155"/>
        <w:gridCol w:w="109"/>
        <w:gridCol w:w="154"/>
      </w:tblGrid>
      <w:tr>
        <w:trPr/>
        <w:tc>
          <w:tcPr>
            <w:tcW w:w="1334"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1" w:type="dxa"/>
            <w:gridSpan w:val="6"/>
            <w:tcBorders/>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5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55"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loss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Commission and other acquisition expenses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w:t>
            </w:r>
          </w:p>
        </w:tc>
        <w:tc>
          <w:tcPr>
            <w:tcW w:w="15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Underwriting loss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w:t>
            </w:r>
          </w:p>
        </w:tc>
        <w:tc>
          <w:tcPr>
            <w:tcW w:w="155"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12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40" w:before="100" w:after="12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underwriting loss for the Diversified Reinsurance Legacy business during the three months ended March 31, 2026 was principally the result of the continuing run off of the Company's International operations. Underwriting loss by business unit during the three months ended March 31, 2026 is detailed in the table below:</w:t>
      </w:r>
    </w:p>
    <w:tbl>
      <w:tblPr>
        <w:tblW w:w="5255" w:type="dxa"/>
        <w:jc w:val="center"/>
        <w:tblInd w:w="0" w:type="dxa"/>
        <w:tblLayout w:type="fixed"/>
        <w:tblCellMar>
          <w:top w:w="28" w:type="dxa"/>
          <w:left w:w="28" w:type="dxa"/>
          <w:bottom w:w="28" w:type="dxa"/>
          <w:right w:w="28" w:type="dxa"/>
        </w:tblCellMar>
      </w:tblPr>
      <w:tblGrid>
        <w:gridCol w:w="1085"/>
        <w:gridCol w:w="953"/>
        <w:gridCol w:w="962"/>
        <w:gridCol w:w="109"/>
        <w:gridCol w:w="109"/>
        <w:gridCol w:w="109"/>
        <w:gridCol w:w="109"/>
        <w:gridCol w:w="109"/>
        <w:gridCol w:w="109"/>
        <w:gridCol w:w="109"/>
        <w:gridCol w:w="301"/>
        <w:gridCol w:w="773"/>
        <w:gridCol w:w="155"/>
        <w:gridCol w:w="109"/>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1" w:type="dxa"/>
            <w:gridSpan w:val="6"/>
            <w:tcBorders/>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15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run-off lines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5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Underwriting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270"/>
        <w:jc w:val="both"/>
        <w:rPr/>
      </w:pPr>
      <w:r>
        <w:rPr>
          <w:rFonts w:ascii="Times New Roman;serif" w:hAnsi="Times New Roman;serif"/>
          <w:b/>
          <w:i/>
          <w:color w:val="000000"/>
          <w:sz w:val="20"/>
        </w:rPr>
        <w:t>Premiums</w:t>
      </w:r>
      <w:r>
        <w:rPr>
          <w:color w:val="000000"/>
        </w:rPr>
        <w:t xml:space="preserve"> — </w:t>
      </w:r>
      <w:r>
        <w:rPr>
          <w:rFonts w:ascii="Times New Roman;serif" w:hAnsi="Times New Roman;serif"/>
          <w:b w:val="false"/>
          <w:color w:val="000000"/>
          <w:sz w:val="20"/>
        </w:rPr>
        <w:t xml:space="preserve">As discussed in the </w:t>
      </w:r>
      <w:r>
        <w:rPr>
          <w:rFonts w:ascii="Times New Roman;serif" w:hAnsi="Times New Roman;serif"/>
          <w:b w:val="false"/>
          <w:i/>
          <w:color w:val="000000"/>
          <w:sz w:val="20"/>
        </w:rPr>
        <w:t>"Overview"</w:t>
      </w:r>
      <w:r>
        <w:rPr>
          <w:color w:val="000000"/>
        </w:rPr>
        <w:t xml:space="preserve"> </w:t>
      </w:r>
      <w:r>
        <w:rPr>
          <w:rFonts w:ascii="Times New Roman;serif" w:hAnsi="Times New Roman;serif"/>
          <w:b w:val="false"/>
          <w:color w:val="000000"/>
          <w:sz w:val="20"/>
        </w:rPr>
        <w:t xml:space="preserve">section, Maiden LF and Maiden GF are not writing any new business. Maiden LF and Maiden GF are presently the principal operating subsidiaries of the Company’s IIS platform; therefore we will continue to experience limited premium written for 2026 in the Diversified Reinsurance Legacy Business. Please refer to </w:t>
      </w:r>
      <w:r>
        <w:rPr>
          <w:rFonts w:ascii="Times New Roman;serif" w:hAnsi="Times New Roman;serif"/>
          <w:b w:val="false"/>
          <w:i/>
          <w:color w:val="000000"/>
          <w:sz w:val="20"/>
        </w:rPr>
        <w:t xml:space="preserve">Note 14. Assets Held for Sale </w:t>
      </w:r>
      <w:r>
        <w:rPr>
          <w:rFonts w:ascii="Times New Roman;serif" w:hAnsi="Times New Roman;serif"/>
          <w:b w:val="false"/>
          <w:color w:val="000000"/>
          <w:sz w:val="20"/>
        </w:rPr>
        <w:t xml:space="preserve">of the Notes to Condensed Consolidated Financial Statements under Part I Item 1. </w:t>
      </w:r>
      <w:r>
        <w:rPr>
          <w:rFonts w:ascii="Times New Roman;serif" w:hAnsi="Times New Roman;serif"/>
          <w:b w:val="false"/>
          <w:i/>
          <w:color w:val="000000"/>
          <w:sz w:val="20"/>
        </w:rPr>
        <w:t xml:space="preserve">"Financial Information" </w:t>
      </w:r>
      <w:r>
        <w:rPr>
          <w:rFonts w:ascii="Times New Roman;serif" w:hAnsi="Times New Roman;serif"/>
          <w:b w:val="false"/>
          <w:color w:val="000000"/>
          <w:sz w:val="20"/>
        </w:rPr>
        <w:t>for more details.</w:t>
      </w:r>
    </w:p>
    <w:p>
      <w:pPr>
        <w:pStyle w:val="TextBody"/>
        <w:bidi w:val="0"/>
        <w:spacing w:lineRule="auto" w:line="240" w:before="60" w:after="120"/>
        <w:ind w:left="0" w:right="0" w:firstLine="270"/>
        <w:jc w:val="both"/>
        <w:rPr/>
      </w:pPr>
      <w:r>
        <w:rPr>
          <w:rFonts w:ascii="Times New Roman;serif" w:hAnsi="Times New Roman;serif"/>
          <w:b/>
          <w:i/>
          <w:color w:val="000000"/>
          <w:sz w:val="20"/>
        </w:rPr>
        <w:t>Net Loss and LAE</w:t>
      </w:r>
      <w:r>
        <w:rPr>
          <w:color w:val="000000"/>
        </w:rPr>
        <w:t xml:space="preserve"> — </w:t>
      </w:r>
      <w:r>
        <w:rPr>
          <w:rFonts w:ascii="Times New Roman;serif" w:hAnsi="Times New Roman;serif"/>
          <w:b w:val="false"/>
          <w:color w:val="000000"/>
          <w:sz w:val="20"/>
        </w:rPr>
        <w:t>Net loss and LAE incurred in the three months ended March 31, 2026 were negative $0.3 million due to net favorable PPD of $0.3 million for the three months ended March 31, 2026 from International run-off business.</w:t>
      </w:r>
    </w:p>
    <w:p>
      <w:pPr>
        <w:pStyle w:val="TextBody"/>
        <w:bidi w:val="0"/>
        <w:spacing w:lineRule="auto" w:line="240" w:before="0" w:after="120"/>
        <w:ind w:left="0" w:right="0" w:firstLine="270"/>
        <w:jc w:val="both"/>
        <w:rPr/>
      </w:pPr>
      <w:r>
        <w:rPr>
          <w:rFonts w:ascii="Times New Roman;serif" w:hAnsi="Times New Roman;serif"/>
          <w:b/>
          <w:i/>
          <w:color w:val="000000"/>
          <w:sz w:val="20"/>
        </w:rPr>
        <w:t>Commission and Other Acquisition Expenses</w:t>
      </w:r>
      <w:r>
        <w:rPr>
          <w:color w:val="000000"/>
        </w:rPr>
        <w:t xml:space="preserve"> — </w:t>
      </w:r>
      <w:r>
        <w:rPr>
          <w:rFonts w:ascii="Times New Roman;serif" w:hAnsi="Times New Roman;serif"/>
          <w:b w:val="false"/>
          <w:color w:val="000000"/>
          <w:sz w:val="20"/>
        </w:rPr>
        <w:t>Commission and other acquisition expenses incurred in the three months ended March 31, 2026 were $0.7 million. This is driven by adjustments in premiums written and earned by Maiden LF and GF as they are not writing any new business with Maiden LF effectively placed in managed run-off operations.</w:t>
      </w:r>
    </w:p>
    <w:p>
      <w:pPr>
        <w:pStyle w:val="TextBody"/>
        <w:bidi w:val="0"/>
        <w:spacing w:lineRule="auto" w:line="240" w:before="0" w:after="120"/>
        <w:ind w:left="0" w:right="0" w:firstLine="270"/>
        <w:jc w:val="both"/>
        <w:rPr/>
      </w:pPr>
      <w:r>
        <w:rPr>
          <w:rFonts w:ascii="Times New Roman;serif" w:hAnsi="Times New Roman;serif"/>
          <w:b/>
          <w:i/>
          <w:color w:val="000000"/>
          <w:sz w:val="20"/>
        </w:rPr>
        <w:t>General and Administrative Expenses</w:t>
      </w:r>
      <w:r>
        <w:rPr>
          <w:color w:val="000000"/>
        </w:rPr>
        <w:t xml:space="preserve"> — </w:t>
      </w:r>
      <w:r>
        <w:rPr>
          <w:rFonts w:ascii="Times New Roman;serif" w:hAnsi="Times New Roman;serif"/>
          <w:b w:val="false"/>
          <w:color w:val="000000"/>
          <w:sz w:val="20"/>
        </w:rPr>
        <w:t xml:space="preserve">General and administrative expenses incurred in the three months ended March 31, 2026 were $1.3 million. This included $0.1 million of amortization on the fair value adjustment of the discount on acquired net reserves for losses and LAE due to reverse acquisition accounting for the Combination.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i/>
          <w:color w:val="000000"/>
          <w:sz w:val="20"/>
        </w:rPr>
        <w:t xml:space="preserve">AmTrust Reinsurance Legacy Business: </w:t>
      </w:r>
      <w:r>
        <w:rPr>
          <w:rFonts w:ascii="Times New Roman;serif" w:hAnsi="Times New Roman;serif"/>
          <w:b w:val="false"/>
          <w:color w:val="000000"/>
          <w:sz w:val="20"/>
        </w:rPr>
        <w:t>The underwriting results for AmTrust Reinsurance Legacy business for the three months ended March 31, 2026 were as follows:</w:t>
      </w:r>
    </w:p>
    <w:tbl>
      <w:tblPr>
        <w:tblW w:w="5944" w:type="dxa"/>
        <w:jc w:val="left"/>
        <w:tblInd w:w="0" w:type="dxa"/>
        <w:tblLayout w:type="fixed"/>
        <w:tblCellMar>
          <w:top w:w="28" w:type="dxa"/>
          <w:left w:w="28" w:type="dxa"/>
          <w:bottom w:w="28" w:type="dxa"/>
          <w:right w:w="28" w:type="dxa"/>
        </w:tblCellMar>
      </w:tblPr>
      <w:tblGrid>
        <w:gridCol w:w="1334"/>
        <w:gridCol w:w="1172"/>
        <w:gridCol w:w="1183"/>
        <w:gridCol w:w="109"/>
        <w:gridCol w:w="109"/>
        <w:gridCol w:w="109"/>
        <w:gridCol w:w="109"/>
        <w:gridCol w:w="109"/>
        <w:gridCol w:w="109"/>
        <w:gridCol w:w="109"/>
        <w:gridCol w:w="256"/>
        <w:gridCol w:w="841"/>
        <w:gridCol w:w="132"/>
        <w:gridCol w:w="109"/>
        <w:gridCol w:w="154"/>
      </w:tblGrid>
      <w:tr>
        <w:trPr/>
        <w:tc>
          <w:tcPr>
            <w:tcW w:w="1334"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1" w:type="dxa"/>
            <w:gridSpan w:val="6"/>
            <w:tcBorders/>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13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13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2,290 </w:t>
            </w:r>
          </w:p>
        </w:tc>
        <w:tc>
          <w:tcPr>
            <w:tcW w:w="132"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loss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Commission and other acquisition expenses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w:t>
            </w:r>
          </w:p>
        </w:tc>
        <w:tc>
          <w:tcPr>
            <w:tcW w:w="13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Underwriting loss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w:t>
            </w:r>
          </w:p>
        </w:tc>
        <w:tc>
          <w:tcPr>
            <w:tcW w:w="132"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written premiums for the three months ended March 31, 2026 reflect premium adjustments in the AmTrust Quota Share for Specialty Risk and Extended Warranty business. The AmTrust Quota Share and the European Hospital Liability Quota Share reinsurance agreements were terminated as of January 1, 2019 which has resulted in no new business written under these contracts. The table below provides detail on net premiums earned in the three months ended March 31, 2026: </w:t>
      </w:r>
    </w:p>
    <w:tbl>
      <w:tblPr>
        <w:tblW w:w="5962" w:type="dxa"/>
        <w:jc w:val="center"/>
        <w:tblInd w:w="0" w:type="dxa"/>
        <w:tblLayout w:type="fixed"/>
        <w:tblCellMar>
          <w:top w:w="28" w:type="dxa"/>
          <w:left w:w="28" w:type="dxa"/>
          <w:bottom w:w="28" w:type="dxa"/>
          <w:right w:w="28" w:type="dxa"/>
        </w:tblCellMar>
      </w:tblPr>
      <w:tblGrid>
        <w:gridCol w:w="1183"/>
        <w:gridCol w:w="1039"/>
        <w:gridCol w:w="1048"/>
        <w:gridCol w:w="109"/>
        <w:gridCol w:w="109"/>
        <w:gridCol w:w="109"/>
        <w:gridCol w:w="277"/>
        <w:gridCol w:w="810"/>
        <w:gridCol w:w="143"/>
        <w:gridCol w:w="109"/>
        <w:gridCol w:w="109"/>
        <w:gridCol w:w="109"/>
        <w:gridCol w:w="109"/>
        <w:gridCol w:w="109"/>
        <w:gridCol w:w="109"/>
        <w:gridCol w:w="109"/>
        <w:gridCol w:w="109"/>
        <w:gridCol w:w="109"/>
        <w:gridCol w:w="154"/>
      </w:tblGrid>
      <w:tr>
        <w:trPr/>
        <w:tc>
          <w:tcPr>
            <w:tcW w:w="118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70"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Net Premiums Earned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Small Commercial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Specialty Program</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Specialty Risk and Extended Warranty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Total AmTrust Reinsurance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2,290 </w:t>
            </w:r>
          </w:p>
        </w:tc>
        <w:tc>
          <w:tcPr>
            <w:tcW w:w="143"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44" w:before="0" w:after="0"/>
        <w:ind w:left="0" w:right="0" w:firstLine="270"/>
        <w:jc w:val="both"/>
        <w:rPr/>
      </w:pPr>
      <w:r>
        <w:rPr>
          <w:rFonts w:ascii="Times New Roman;serif" w:hAnsi="Times New Roman;serif"/>
          <w:b/>
          <w:i/>
          <w:color w:val="000000"/>
          <w:sz w:val="20"/>
        </w:rPr>
        <w:t>Net Loss and LAE</w:t>
      </w:r>
      <w:r>
        <w:rPr>
          <w:color w:val="000000"/>
        </w:rPr>
        <w:t xml:space="preserve"> — </w:t>
      </w:r>
      <w:r>
        <w:rPr>
          <w:rFonts w:ascii="Times New Roman;serif" w:hAnsi="Times New Roman;serif"/>
          <w:b w:val="false"/>
          <w:color w:val="000000"/>
          <w:sz w:val="20"/>
        </w:rPr>
        <w:t xml:space="preserve">Net loss and LAE expenses incurred for the three months ended March 31, 2026 were $2.6 million. Net incurred losses for the three months ended March 31, 2026 were impacted by adverse PPD of $0.6 million. The table below shows total PPD for the AmTrust Reinsurance Legacy business for the three months ended March 31, 2026: </w:t>
      </w:r>
    </w:p>
    <w:tbl>
      <w:tblPr>
        <w:tblW w:w="5990" w:type="dxa"/>
        <w:jc w:val="center"/>
        <w:tblInd w:w="0" w:type="dxa"/>
        <w:tblLayout w:type="fixed"/>
        <w:tblCellMar>
          <w:top w:w="28" w:type="dxa"/>
          <w:left w:w="28" w:type="dxa"/>
          <w:bottom w:w="28" w:type="dxa"/>
          <w:right w:w="28" w:type="dxa"/>
        </w:tblCellMar>
      </w:tblPr>
      <w:tblGrid>
        <w:gridCol w:w="1351"/>
        <w:gridCol w:w="1186"/>
        <w:gridCol w:w="1198"/>
        <w:gridCol w:w="109"/>
        <w:gridCol w:w="109"/>
        <w:gridCol w:w="109"/>
        <w:gridCol w:w="109"/>
        <w:gridCol w:w="109"/>
        <w:gridCol w:w="109"/>
        <w:gridCol w:w="109"/>
        <w:gridCol w:w="330"/>
        <w:gridCol w:w="729"/>
        <w:gridCol w:w="170"/>
        <w:gridCol w:w="109"/>
        <w:gridCol w:w="154"/>
      </w:tblGrid>
      <w:tr>
        <w:trPr/>
        <w:tc>
          <w:tcPr>
            <w:tcW w:w="135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Prior Year Loss Development adverse (favorable)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AmTrust Quota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73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LPT/ADC Agreement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7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Hospital Liability Quota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73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AmTrust Prior Year Development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7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Net incurred losses for the three months ended March 31, 2026 included adverse PPD of $0.6 million. Total PPD was due to an adjustment for greater than expected amount of earned exposure in 2025 that was reported in the three months ended March 31, 2026 on Specialty Risk and Extended Warranty business in the AmTrust Quota Share, and a reduction in recoveries anticipated under the LPT/ADC Agreement.</w:t>
      </w:r>
    </w:p>
    <w:p>
      <w:pPr>
        <w:pStyle w:val="TextBody"/>
        <w:bidi w:val="0"/>
        <w:spacing w:lineRule="auto" w:line="240" w:before="0" w:after="120"/>
        <w:ind w:left="0" w:right="0" w:firstLine="270"/>
        <w:jc w:val="both"/>
        <w:rPr/>
      </w:pPr>
      <w:r>
        <w:rPr>
          <w:rFonts w:ascii="Times New Roman;serif" w:hAnsi="Times New Roman;serif"/>
          <w:b/>
          <w:i/>
          <w:color w:val="000000"/>
          <w:sz w:val="20"/>
        </w:rPr>
        <w:t>Commission and Other Acquisition Expenses</w:t>
      </w:r>
      <w:r>
        <w:rPr>
          <w:color w:val="000000"/>
        </w:rPr>
        <w:t xml:space="preserve"> — </w:t>
      </w:r>
      <w:r>
        <w:rPr>
          <w:rFonts w:ascii="Times New Roman;serif" w:hAnsi="Times New Roman;serif"/>
          <w:b w:val="false"/>
          <w:color w:val="000000"/>
          <w:sz w:val="20"/>
        </w:rPr>
        <w:t xml:space="preserve">Commission and other acquisition expenses incurred in the three months ended March 31, 2026 were $0.7 million. </w:t>
      </w:r>
    </w:p>
    <w:p>
      <w:pPr>
        <w:pStyle w:val="TextBody"/>
        <w:bidi w:val="0"/>
        <w:spacing w:lineRule="auto" w:line="240" w:before="0" w:after="240"/>
        <w:ind w:left="0" w:right="0" w:firstLine="270"/>
        <w:jc w:val="both"/>
        <w:rPr/>
      </w:pPr>
      <w:r>
        <w:rPr>
          <w:rFonts w:ascii="Times New Roman;serif" w:hAnsi="Times New Roman;serif"/>
          <w:b/>
          <w:i/>
          <w:color w:val="000000"/>
          <w:sz w:val="20"/>
        </w:rPr>
        <w:t>General and Administrative Expenses</w:t>
      </w:r>
      <w:r>
        <w:rPr>
          <w:color w:val="000000"/>
        </w:rPr>
        <w:t xml:space="preserve"> — </w:t>
      </w:r>
      <w:r>
        <w:rPr>
          <w:rFonts w:ascii="Times New Roman;serif" w:hAnsi="Times New Roman;serif"/>
          <w:b w:val="false"/>
          <w:color w:val="000000"/>
          <w:sz w:val="20"/>
        </w:rPr>
        <w:t xml:space="preserve">General and administrative expenses incurred in the three months ended March 31, 2026 were $1.4 million. This included $0.7 million of amortization on the fair value adjustment of the discount on acquired net reserves for losses and LAE due to reverse acquisition accounting for the Combination.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40" w:before="120" w:after="120"/>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40" w:before="0" w:after="120"/>
        <w:jc w:val="left"/>
        <w:rPr>
          <w:rFonts w:ascii="Times New Roman;serif" w:hAnsi="Times New Roman;serif"/>
          <w:b/>
          <w:i/>
          <w:color w:val="000000"/>
          <w:sz w:val="20"/>
        </w:rPr>
      </w:pPr>
      <w:r>
        <w:rPr>
          <w:rFonts w:ascii="Times New Roman;serif" w:hAnsi="Times New Roman;serif"/>
          <w:b/>
          <w:i/>
          <w:color w:val="000000"/>
          <w:sz w:val="20"/>
        </w:rPr>
        <w:t xml:space="preserve">Liquidity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Kestrel Group is a holding company and transacts no business of its own. We therefore rely on cash flows in the form of dividends, advances, loans and other permitted distributions from our subsidiary companies to pay expenses and make dividend payments on our common shares. The jurisdictions in which our operating subsidiaries are licensed to write business impose regulations requiring companies to maintain or meet statutory solvency and liquidity requirements and also place restrictions on the declaration and payment of dividends and other distributions.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 had investable assets of $487.6 million compared to $506.1 million as of December 31, 2025. Investable assets include the combined total of our fixed maturity securities and other investments, cash and restricted cash including cash equivalents, net loan receivable from a related party and funds withheld receivable. Our investable assets decreased by $18.5 million during the three months ended March 31, 2026 due to the continued run-off of our reinsurance portfolio liabilities as claim payments were settled primarily from sales and maturities of AFS securities.</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As discussed in </w:t>
      </w:r>
      <w:r>
        <w:rPr>
          <w:rFonts w:ascii="Times New Roman;serif" w:hAnsi="Times New Roman;serif"/>
          <w:b w:val="false"/>
          <w:i/>
          <w:color w:val="000000"/>
          <w:sz w:val="20"/>
        </w:rPr>
        <w:t xml:space="preserve">"Overview" </w:t>
      </w:r>
      <w:r>
        <w:rPr>
          <w:rFonts w:ascii="Times New Roman;serif" w:hAnsi="Times New Roman;serif"/>
          <w:b w:val="false"/>
          <w:color w:val="000000"/>
          <w:sz w:val="20"/>
        </w:rPr>
        <w:t>section, Maiden Reinsurance is regulated by the Vermont DFR. We are actively engaged with the Vermont DFR regarding Maiden Reinsurance's longer term business plan, including its investment policy, changes to which require prior regulatory approval as stipulated by Vermont law or the Vermont DFR for active underwriting, capital management or other strategic initiatives, including our Combination with Kestrel. Maiden Reinsurance has received all necessary approvals required to date by the Vermont DFR in respect of its business plan, including GLS activities and investment policy amendments made in 2025.</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Maiden Reinsurance's Investment Policy, as approved and as amended by the Vermont DFR in the second quarter of 2025, maintains our established investment management and governance practices. The amended Investment Policy however includes significant modifications to this policy as follows: 1) Maiden Reinsurance will not purchase any additional affiliated securities, including common shares of the Company or senior notes issued by Maiden or Maiden NA; and 2) Maiden Reinsurance will make no new commitments for alternative assets, consistent with the practice it had already adopted ahead of this policy amendment. Maiden Reinsurance expects to fulfill its remaining commitments to existing investments, which totals $23.1 million in unfunded commitments as of March 31, 2026.</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Under its license as an affiliated reinsurer under the captive licensing laws in the State of Vermont, Maiden Reinsurance requires the approval of the Vermont DFR for the payment of any dividends. In May 2025, the Vermont DFR approved: 1) an annual dividend program to be paid by Maiden Reinsurance to Maiden NA, which requires prior approval by the Vermont DFR prior to payment of dividends under the program; and 2) an extraordinary dividend of $40.0 million and this dividend formed the basis for the consideration received by the Company's shareholders pursuant to the terms of the Combination. To date, the Vermont DFR approved all dividend requests under the current dividend program. During the three months ended March 31, 2026, Maiden Reinsurance paid dividends of $7.5 million to Maiden NA as approved by Vermont DFR on February 25, 2026. During the three months ended March 31, 2026, Maiden NA did not pay any dividends to Maiden.</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may experience continued volatility in our results of operations which could negatively impact our financial condition and create a reduction in the amount of available distribution or dividend capacity from our regulated reinsurance subsidiaries, which would also reduce liquidity. Further, we and our insurance subsidiaries may need additional capital to maintain compliance with regulatory capital requirements and/or be required to post additional collateral under existing reinsurance arrangements, which could reduce our liquidity.</w:t>
      </w:r>
    </w:p>
    <w:p>
      <w:pPr>
        <w:pStyle w:val="TextBody"/>
        <w:bidi w:val="0"/>
        <w:spacing w:lineRule="auto" w:line="240" w:before="0" w:after="120"/>
        <w:jc w:val="both"/>
        <w:rPr>
          <w:rFonts w:ascii="Times New Roman;serif" w:hAnsi="Times New Roman;serif"/>
          <w:b w:val="false"/>
          <w:i/>
          <w:color w:val="000000"/>
          <w:sz w:val="20"/>
        </w:rPr>
      </w:pPr>
      <w:r>
        <w:rPr>
          <w:rFonts w:ascii="Times New Roman;serif" w:hAnsi="Times New Roman;serif"/>
          <w:b w:val="false"/>
          <w:i/>
          <w:color w:val="000000"/>
          <w:sz w:val="20"/>
        </w:rPr>
        <w:t>Operating, investing and financing cash flows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Our sources of funds may consist of fee revenue, premium receipts net of commissions and brokerage, investment income, net proceeds from capital raising activities, and proceeds from sales, maturities, pay downs and redemption of investments. Cash is used primarily to pay loss and LAE, ceded reinsurance premium, general and administrative expenses, and interest expense, with the remainder in excess of our operating requirements made available to our investment managers for investment in accordance with our investment policy as well as for potential capital management such as repurchasing our shares.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we experienced negative operating cash flows as we continue to run off the Legacy Reinsurance segment reserves as shown in the cash flows table further below. We currently expect a trend of positive investing cash flows through 2026, and expect to use funds from our cash and investment portfolios, fee revenue premiums, investment income and proceeds from investment sales and redemptions to meet our expected claims payments and operational expenses. Claim payments are principally from the run-off of existing reserves for loss and LAE. A significant portion of those liabilities are collateralized and claim payments will be funded by using this collateral which should provide sufficient funding to fulfill those obligations.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management believes our current sources of liquidity are adequate to meet its cash requirements for the next twelve months as we generally expect negative operating cash flows to be sufficiently offset by positive investing cash flows. The cash consideration and related significant professional expenses associated with completing the Combination has however utilized substantial amounts of Maiden's unrestricted liquidity. While we continue to expect our cash flows to be sufficient to meet our cash requirements and to operate our business, as our reinsurance liabilities continue to run-off, our balance sheet increasingly consists of more illiquid investments which we are seeking to dispose of for more liquid assets. Our inability to monetize these illiquid assets on a timely basis while fulfilling our ongoing obligations may restrain our liquidity further and we may need to consider alternative measures to ensure we continue to fulfill those obligations.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Further, while we are no longer making new alternative asset commitments, Maiden's historical asset management strategy which was part of the Combination can be impacted by both investment specific and broader financial market conditions and may not produce the expected liquidity and cash flows these investments are designed to achieve, or the timing thereof may also be impacted by those factors. In addition, adverse outcomes or resolutions of ongoing legal disputes or proceedings,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40" w:before="0" w:after="120"/>
        <w:jc w:val="both"/>
        <w:rPr/>
      </w:pPr>
      <w:r>
        <w:rPr>
          <w:rFonts w:ascii="Times New Roman;serif" w:hAnsi="Times New Roman;serif"/>
          <w:b w:val="false"/>
          <w:color w:val="000000"/>
          <w:sz w:val="20"/>
        </w:rPr>
        <w:t>those matters referenced in "</w:t>
      </w:r>
      <w:r>
        <w:rPr>
          <w:rFonts w:ascii="Times New Roman;serif" w:hAnsi="Times New Roman;serif"/>
          <w:b w:val="false"/>
          <w:i/>
          <w:color w:val="000000"/>
          <w:sz w:val="20"/>
        </w:rPr>
        <w:t>Notes to Condensed Consolidated Financial Statements (unaudited) Note 11. Commitments, Contingencies and Guarantees</w:t>
      </w:r>
      <w:r>
        <w:rPr>
          <w:rFonts w:ascii="Times New Roman;serif" w:hAnsi="Times New Roman;serif"/>
          <w:b w:val="false"/>
          <w:color w:val="000000"/>
          <w:sz w:val="20"/>
        </w:rPr>
        <w:t>" included under Part I Item 1. "</w:t>
      </w:r>
      <w:r>
        <w:rPr>
          <w:rFonts w:ascii="Times New Roman;serif" w:hAnsi="Times New Roman;serif"/>
          <w:b w:val="false"/>
          <w:i/>
          <w:color w:val="000000"/>
          <w:sz w:val="20"/>
        </w:rPr>
        <w:t>Financial Information</w:t>
      </w:r>
      <w:r>
        <w:rPr>
          <w:rFonts w:ascii="Times New Roman;serif" w:hAnsi="Times New Roman;serif"/>
          <w:b w:val="false"/>
          <w:color w:val="000000"/>
          <w:sz w:val="20"/>
        </w:rPr>
        <w:t>" of this Form 10-Q, could further negatively impact liquidity and cash flows, and thus our ability to meet our cash requirements for the next twelve months.</w:t>
      </w:r>
    </w:p>
    <w:p>
      <w:pPr>
        <w:pStyle w:val="TextBody"/>
        <w:bidi w:val="0"/>
        <w:spacing w:lineRule="auto" w:line="240" w:before="60" w:after="6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At March 31, 2026, unrestricted cash, cash equivalents and fixed maturity investments were $21.1 million compared to $25.8 million held at December 31, 2025, a decrease of $4.7 million during the three months ended March 31, 2026. Please see the related discussion on investing and financing cash flows below. The table below summarizes our operating, investing and financing cash flows for the three months ended March 31, 2026 and 2025: </w:t>
      </w:r>
    </w:p>
    <w:tbl>
      <w:tblPr>
        <w:tblW w:w="8645" w:type="dxa"/>
        <w:jc w:val="center"/>
        <w:tblInd w:w="0" w:type="dxa"/>
        <w:tblLayout w:type="fixed"/>
        <w:tblCellMar>
          <w:top w:w="28" w:type="dxa"/>
          <w:left w:w="28" w:type="dxa"/>
          <w:bottom w:w="28" w:type="dxa"/>
          <w:right w:w="28" w:type="dxa"/>
        </w:tblCellMar>
      </w:tblPr>
      <w:tblGrid>
        <w:gridCol w:w="2159"/>
        <w:gridCol w:w="1896"/>
        <w:gridCol w:w="1914"/>
        <w:gridCol w:w="109"/>
        <w:gridCol w:w="109"/>
        <w:gridCol w:w="109"/>
        <w:gridCol w:w="211"/>
        <w:gridCol w:w="796"/>
        <w:gridCol w:w="109"/>
        <w:gridCol w:w="109"/>
        <w:gridCol w:w="109"/>
        <w:gridCol w:w="109"/>
        <w:gridCol w:w="211"/>
        <w:gridCol w:w="541"/>
        <w:gridCol w:w="154"/>
      </w:tblGrid>
      <w:tr>
        <w:trPr/>
        <w:tc>
          <w:tcPr>
            <w:tcW w:w="2159"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9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 thousands)</w:t>
            </w:r>
          </w:p>
        </w:tc>
      </w:tr>
      <w:tr>
        <w:trPr/>
        <w:tc>
          <w:tcPr>
            <w:tcW w:w="596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(15,133)</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foreign currency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Total increase (decrease) in cash, restricted cash and cash equivalents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36,831 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w:t>
            </w:r>
          </w:p>
        </w:tc>
        <w:tc>
          <w:tcPr>
            <w:tcW w:w="15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jc w:val="both"/>
        <w:rPr>
          <w:rFonts w:ascii="Times New Roman;serif" w:hAnsi="Times New Roman;serif"/>
          <w:b w:val="false"/>
          <w:i/>
          <w:color w:val="000000"/>
          <w:sz w:val="20"/>
        </w:rPr>
      </w:pPr>
      <w:r>
        <w:rPr>
          <w:rFonts w:ascii="Times New Roman;serif" w:hAnsi="Times New Roman;serif"/>
          <w:b w:val="false"/>
          <w:i/>
          <w:color w:val="000000"/>
          <w:sz w:val="20"/>
        </w:rPr>
        <w:t>Cash Flows used in Operating Activities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Cash flows used in operating activities for the three months ended March 31, 2026 was $15.1 million compared to cash flows used in operating activities of $0.9 million for the three months ended March 31, 2025. The higher cash used in operating activities for the three months ended March 31, 2026 was primarily due to claim payments for ongoing runoff of reinsurance liabilities related to the Legacy Reinsurance segment loss reserves acquired on May 27, 2025. </w:t>
      </w:r>
    </w:p>
    <w:p>
      <w:pPr>
        <w:pStyle w:val="TextBody"/>
        <w:bidi w:val="0"/>
        <w:spacing w:lineRule="auto" w:line="240" w:before="0" w:after="120"/>
        <w:jc w:val="both"/>
        <w:rPr>
          <w:rFonts w:ascii="Times New Roman;serif" w:hAnsi="Times New Roman;serif"/>
          <w:b w:val="false"/>
          <w:i/>
          <w:color w:val="000000"/>
          <w:sz w:val="20"/>
        </w:rPr>
      </w:pPr>
      <w:r>
        <w:rPr>
          <w:rFonts w:ascii="Times New Roman;serif" w:hAnsi="Times New Roman;serif"/>
          <w:b w:val="false"/>
          <w:i/>
          <w:color w:val="000000"/>
          <w:sz w:val="20"/>
        </w:rPr>
        <w:t>Cash Flows provided by Investing Activities</w:t>
      </w:r>
    </w:p>
    <w:p>
      <w:pPr>
        <w:pStyle w:val="TextBody"/>
        <w:bidi w:val="0"/>
        <w:spacing w:lineRule="auto" w:line="228"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Cash provided by investing activities was $53.0 million for the three months ended March 31, 2026 compared to $0.0 million for the same period in 2025. Cash flows provided by investing activities for the three months ended March 31, 2026 was primarily due to maturities of US Treasury bills held in our AFS investment portfolio and the partial repayment of the net loan receivable from related party.</w:t>
      </w:r>
    </w:p>
    <w:p>
      <w:pPr>
        <w:pStyle w:val="TextBody"/>
        <w:bidi w:val="0"/>
        <w:spacing w:lineRule="auto" w:line="228"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the proceeds from the sales, maturities and calls exceeded the purchases of fixed maturity securities by $45.0 million. The size of the fixed income investment portfolio will diminish as claims payments continue to be made in the runoff of existing loss reserves for the terminated AmTrust Quota Share and the European Hospital Liability Quota Share reinsurance agreements in our Legacy Reinsurance segment.</w:t>
      </w:r>
    </w:p>
    <w:p>
      <w:pPr>
        <w:pStyle w:val="TextBody"/>
        <w:bidi w:val="0"/>
        <w:spacing w:lineRule="auto" w:line="228"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investing cash flows included purchases of alternative investments which exceeded proceeds from the sales and redemptions. There were net purchases of $1.5 million for alternative investments during the three months ended March 31, 2026. These net purchases were mainly due to pre-existing commitments for private equity fund investments for the three months ended March 31, 2026.</w:t>
      </w:r>
    </w:p>
    <w:p>
      <w:pPr>
        <w:pStyle w:val="TextBody"/>
        <w:bidi w:val="0"/>
        <w:spacing w:lineRule="auto" w:line="240" w:before="60" w:after="120"/>
        <w:jc w:val="both"/>
        <w:rPr>
          <w:rFonts w:ascii="Times New Roman;serif" w:hAnsi="Times New Roman;serif"/>
          <w:b w:val="false"/>
          <w:i/>
          <w:color w:val="000000"/>
          <w:sz w:val="20"/>
        </w:rPr>
      </w:pPr>
      <w:r>
        <w:rPr>
          <w:rFonts w:ascii="Times New Roman;serif" w:hAnsi="Times New Roman;serif"/>
          <w:b w:val="false"/>
          <w:i/>
          <w:color w:val="000000"/>
          <w:sz w:val="20"/>
        </w:rPr>
        <w:t>Cash Flows used in Financing Activities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Cash flows used in financing activities were $0.5 million for the three months ended March 31, 2026 compared to $0.0 million for the same period in 2025. This was due to the repurchase of common shares to settle tax payments upon the vesting of share-based compensation for certain employees. No dividends on common shares were paid during the three months ended March 31, 2026 and 2025. </w:t>
      </w:r>
    </w:p>
    <w:p>
      <w:pPr>
        <w:pStyle w:val="TextBody"/>
        <w:bidi w:val="0"/>
        <w:spacing w:lineRule="auto" w:line="240" w:before="0" w:after="120"/>
        <w:jc w:val="left"/>
        <w:rPr>
          <w:rFonts w:ascii="Times New Roman;serif" w:hAnsi="Times New Roman;serif"/>
          <w:b/>
          <w:i/>
          <w:color w:val="000000"/>
          <w:sz w:val="20"/>
        </w:rPr>
      </w:pPr>
      <w:r>
        <w:rPr>
          <w:rFonts w:ascii="Times New Roman;serif" w:hAnsi="Times New Roman;serif"/>
          <w:b/>
          <w:i/>
          <w:color w:val="000000"/>
          <w:sz w:val="20"/>
        </w:rPr>
        <w:t xml:space="preserve">Restrictions, Collateral and Specific Requirements </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As previously noted, as a result of the completion of the Combination with Maiden on May 27, 2025, the Company has acquired significant investable assets and additional sources of investment income in addition to considerable loss reserves and unearned premiums under legacy reinsurance contracts as discussed in </w:t>
      </w:r>
      <w:r>
        <w:rPr>
          <w:rFonts w:ascii="Times New Roman;serif" w:hAnsi="Times New Roman;serif"/>
          <w:b w:val="false"/>
          <w:i/>
          <w:color w:val="000000"/>
          <w:sz w:val="20"/>
        </w:rPr>
        <w:t>Part I, Item 1 - Notes to Condensed Consolidated Financial Statements (unaudited) "Note 4. Investments</w:t>
      </w:r>
      <w:r>
        <w:rPr>
          <w:rFonts w:ascii="Times New Roman;serif" w:hAnsi="Times New Roman;serif"/>
          <w:b w:val="false"/>
          <w:color w:val="000000"/>
          <w:sz w:val="20"/>
        </w:rPr>
        <w:t xml:space="preserve">", </w:t>
      </w:r>
      <w:r>
        <w:rPr>
          <w:rFonts w:ascii="Times New Roman;serif" w:hAnsi="Times New Roman;serif"/>
          <w:b w:val="false"/>
          <w:i/>
          <w:color w:val="000000"/>
          <w:sz w:val="20"/>
        </w:rPr>
        <w:t>"Note 9. Reserve for Loss and Loss Adjustment Expenses"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"Note 15. Business Combination"</w:t>
      </w:r>
      <w:r>
        <w:rPr>
          <w:color w:val="000000"/>
        </w:rPr>
        <w:t xml:space="preserve"> </w:t>
      </w:r>
      <w:r>
        <w:rPr>
          <w:rFonts w:ascii="Times New Roman;serif" w:hAnsi="Times New Roman;serif"/>
          <w:b w:val="false"/>
          <w:color w:val="000000"/>
          <w:sz w:val="20"/>
        </w:rPr>
        <w:t>included in this Form 10-Q. Pursuant to the terms of the underlying reinsurance contracts associated with these liabilities, Maiden Reinsurance is required in certain instances to provide collateral in various forms as security against performance to satisfy those obligations. Those collateral obligations remained with Maiden Reinsurance after completion of the Combination.</w:t>
      </w:r>
    </w:p>
    <w:p>
      <w:pPr>
        <w:pStyle w:val="TextBody"/>
        <w:bidi w:val="0"/>
        <w:spacing w:lineRule="auto" w:line="240" w:before="0" w:after="120"/>
        <w:ind w:left="0" w:right="0" w:firstLine="270"/>
        <w:jc w:val="both"/>
        <w:rPr/>
      </w:pPr>
      <w:r>
        <w:rPr>
          <w:rFonts w:ascii="Times New Roman;serif" w:hAnsi="Times New Roman;serif"/>
          <w:b w:val="false"/>
          <w:color w:val="000000"/>
          <w:sz w:val="20"/>
        </w:rPr>
        <w:t>The Company's restrictions, collateral and specific requirements are discussed in "</w:t>
      </w:r>
      <w:r>
        <w:rPr>
          <w:rFonts w:ascii="Times New Roman;serif" w:hAnsi="Times New Roman;serif"/>
          <w:b w:val="false"/>
          <w:i/>
          <w:color w:val="000000"/>
          <w:sz w:val="20"/>
        </w:rPr>
        <w:t>Management's Discussion and Analysis of Financial Condition and Results of Operations</w:t>
      </w:r>
      <w:r>
        <w:rPr>
          <w:rFonts w:ascii="Times New Roman;serif" w:hAnsi="Times New Roman;serif"/>
          <w:b w:val="false"/>
          <w:color w:val="000000"/>
          <w:sz w:val="20"/>
        </w:rPr>
        <w:t>" section. Please also refer to "</w:t>
      </w:r>
      <w:r>
        <w:rPr>
          <w:rFonts w:ascii="Times New Roman;serif" w:hAnsi="Times New Roman;serif"/>
          <w:b w:val="false"/>
          <w:i/>
          <w:color w:val="000000"/>
          <w:sz w:val="20"/>
        </w:rPr>
        <w:t xml:space="preserve">Part I, Item 1 - Notes to Condensed Consolidated Financial Statements (unaudited) </w:t>
      </w:r>
      <w:r>
        <w:rPr>
          <w:rFonts w:ascii="Times New Roman;serif" w:hAnsi="Times New Roman;serif"/>
          <w:b w:val="false"/>
          <w:color w:val="000000"/>
          <w:sz w:val="20"/>
        </w:rPr>
        <w:t xml:space="preserve">included in this Form 10-Q for details of fair values for collateral requirements and restricted assets at March 31, 2026 particularly in these notes: </w:t>
      </w:r>
      <w:r>
        <w:rPr>
          <w:rFonts w:ascii="Times New Roman;serif" w:hAnsi="Times New Roman;serif"/>
          <w:b w:val="false"/>
          <w:i/>
          <w:color w:val="000000"/>
          <w:sz w:val="20"/>
        </w:rPr>
        <w:t xml:space="preserve">Note 4.(e) Restricted Cash, Cash Equivalents and Investments; Note 8. Reinsurance; </w:t>
      </w:r>
      <w:r>
        <w:rPr>
          <w:rFonts w:ascii="Times New Roman;serif" w:hAnsi="Times New Roman;serif"/>
          <w:b w:val="false"/>
          <w:color w:val="000000"/>
          <w:sz w:val="20"/>
        </w:rPr>
        <w:t xml:space="preserve">and </w:t>
      </w:r>
      <w:r>
        <w:rPr>
          <w:rFonts w:ascii="Times New Roman;serif" w:hAnsi="Times New Roman;serif"/>
          <w:b w:val="false"/>
          <w:i/>
          <w:color w:val="000000"/>
          <w:sz w:val="20"/>
        </w:rPr>
        <w:t>Note 10. Related Party Transactions.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At March 31, 2026 and December 31, 2025, restricted cash and cash equivalents and fixed maturity investments used as collateral were $159.5 million and $163.9 million, respectively. This collateral represents 88.3% and 86.4% of the fair value of total fixed maturity investments, cash, restricted cash and cash equivalents at March 31,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 xml:space="preserve">Cash and Investments </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As a result of the completion of the Combination on May 27, 2025, the Company has acquired significant investable assets and additional sources of investment income as discussed in </w:t>
      </w:r>
      <w:r>
        <w:rPr>
          <w:rFonts w:ascii="Times New Roman;serif" w:hAnsi="Times New Roman;serif"/>
          <w:b w:val="false"/>
          <w:i/>
          <w:color w:val="000000"/>
          <w:sz w:val="20"/>
        </w:rPr>
        <w:t>Part I, Item 1 - Notes to Condensed Consolidated Financial Statements (unaudited) "Note 4. Investments</w:t>
      </w:r>
      <w:r>
        <w:rPr>
          <w:rFonts w:ascii="Times New Roman;serif" w:hAnsi="Times New Roman;serif"/>
          <w:b w:val="false"/>
          <w:color w:val="000000"/>
          <w:sz w:val="20"/>
        </w:rPr>
        <w:t xml:space="preserve">" and </w:t>
      </w:r>
      <w:r>
        <w:rPr>
          <w:rFonts w:ascii="Times New Roman;serif" w:hAnsi="Times New Roman;serif"/>
          <w:b w:val="false"/>
          <w:i/>
          <w:color w:val="000000"/>
          <w:sz w:val="20"/>
        </w:rPr>
        <w:t>"Note 15. Business Combination"</w:t>
      </w:r>
      <w:r>
        <w:rPr>
          <w:color w:val="000000"/>
        </w:rPr>
        <w:t xml:space="preserve"> </w:t>
      </w:r>
      <w:r>
        <w:rPr>
          <w:rFonts w:ascii="Times New Roman;serif" w:hAnsi="Times New Roman;serif"/>
          <w:b w:val="false"/>
          <w:color w:val="000000"/>
          <w:sz w:val="20"/>
        </w:rPr>
        <w:t xml:space="preserve">included in this Form 10-Q. </w:t>
      </w:r>
    </w:p>
    <w:p>
      <w:pPr>
        <w:pStyle w:val="TextBody"/>
        <w:bidi w:val="0"/>
        <w:spacing w:lineRule="auto" w:line="240" w:before="0" w:after="120"/>
        <w:ind w:left="0" w:right="0" w:firstLine="270"/>
        <w:jc w:val="both"/>
        <w:rPr/>
      </w:pPr>
      <w:r>
        <w:rPr>
          <w:rFonts w:ascii="Times New Roman;serif" w:hAnsi="Times New Roman;serif"/>
          <w:b w:val="false"/>
          <w:color w:val="000000"/>
          <w:sz w:val="20"/>
        </w:rPr>
        <w:t>As a result, the substantial majority of our current investments are held by Maiden Reinsurance, whose amended investment policy was approved by the Vermont DFR, as noted. As of March 31, 2026, Maiden Reinsurance owned 22.1% of our total outstanding common shares which is eliminated for accounting and financial reporting purposes on our condensed consolidated financial statements.</w:t>
      </w:r>
      <w:r>
        <w:rPr>
          <w:color w:val="000000"/>
        </w:rPr>
        <w:t xml:space="preserve"> </w:t>
      </w:r>
      <w:r>
        <w:rPr>
          <w:rFonts w:ascii="Times New Roman;serif" w:hAnsi="Times New Roman;serif"/>
          <w:b w:val="false"/>
          <w:color w:val="000000"/>
          <w:sz w:val="20"/>
        </w:rPr>
        <w:t>Treasury shares include 2,237,534 common shares owned by Maiden Reinsurance which are not treated as outstanding common shares on the Condensed Consolidated Balance Sheet at March 31, 2026. The market value of our common shares held by Maiden Reinsurance was $24.2 million at March 31, 2026.</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voting power of Maiden Reinsurance, with respect to its common shares, is no longer capped at 9.5% pursuant to a change in Maiden's bye-laws whereby Maiden's shareholders gave approval to remove the voting limitation on all shareholders at a Special Meeting that was held on April 29, 2025.</w:t>
      </w:r>
    </w:p>
    <w:p>
      <w:pPr>
        <w:pStyle w:val="TextBody"/>
        <w:bidi w:val="0"/>
        <w:spacing w:lineRule="auto" w:line="240" w:before="0" w:after="0"/>
        <w:ind w:left="0" w:right="0" w:firstLine="270"/>
        <w:jc w:val="both"/>
        <w:rPr/>
      </w:pPr>
      <w:r>
        <w:rPr>
          <w:rFonts w:ascii="Times New Roman;serif" w:hAnsi="Times New Roman;serif"/>
          <w:b w:val="false"/>
          <w:color w:val="000000"/>
          <w:sz w:val="20"/>
        </w:rPr>
        <w:t>Accordingly, our fixed income investment portfolio is invested in liquid, investment-grade fixed maturity securities which are all designated as AFS at March 31, 2026. Further, prior to the Combination, Maiden Reinsurance’s investment policy had expanded to include a wide range of asset classes to enhance the income and total returns its investment portfolio produces, which had been approved by the Vermont DFR. We categorize these investments as alternative investments which include "</w:t>
      </w:r>
      <w:r>
        <w:rPr>
          <w:rFonts w:ascii="Times New Roman;serif" w:hAnsi="Times New Roman;serif"/>
          <w:b w:val="false"/>
          <w:i/>
          <w:color w:val="000000"/>
          <w:sz w:val="20"/>
        </w:rPr>
        <w:t>Other Investments</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"Equity Method Investments"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"Equity Securities" </w:t>
      </w:r>
      <w:r>
        <w:rPr>
          <w:rFonts w:ascii="Times New Roman;serif" w:hAnsi="Times New Roman;serif"/>
          <w:b w:val="false"/>
          <w:color w:val="000000"/>
          <w:sz w:val="20"/>
        </w:rPr>
        <w:t>on our Condensed Consolidated Balance Sheets. As of March 31, 2026 and December 31, 2025, our cash and investments consisted of:</w:t>
      </w:r>
    </w:p>
    <w:tbl>
      <w:tblPr>
        <w:tblW w:w="7791" w:type="dxa"/>
        <w:jc w:val="left"/>
        <w:tblInd w:w="0" w:type="dxa"/>
        <w:tblLayout w:type="fixed"/>
        <w:tblCellMar>
          <w:top w:w="28" w:type="dxa"/>
          <w:left w:w="28" w:type="dxa"/>
          <w:bottom w:w="28" w:type="dxa"/>
          <w:right w:w="28" w:type="dxa"/>
        </w:tblCellMar>
      </w:tblPr>
      <w:tblGrid>
        <w:gridCol w:w="1568"/>
        <w:gridCol w:w="1381"/>
        <w:gridCol w:w="1385"/>
        <w:gridCol w:w="109"/>
        <w:gridCol w:w="109"/>
        <w:gridCol w:w="109"/>
        <w:gridCol w:w="232"/>
        <w:gridCol w:w="908"/>
        <w:gridCol w:w="119"/>
        <w:gridCol w:w="109"/>
        <w:gridCol w:w="109"/>
        <w:gridCol w:w="109"/>
        <w:gridCol w:w="273"/>
        <w:gridCol w:w="1072"/>
        <w:gridCol w:w="199"/>
      </w:tblGrid>
      <w:tr>
        <w:trPr/>
        <w:tc>
          <w:tcPr>
            <w:tcW w:w="1568"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 thousands)</w:t>
            </w:r>
          </w:p>
        </w:tc>
      </w:tr>
      <w:tr>
        <w:trPr/>
        <w:tc>
          <w:tcPr>
            <w:tcW w:w="433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maturities, available-for-sale, at fair value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118,376 </w:t>
            </w:r>
          </w:p>
        </w:tc>
        <w:tc>
          <w:tcPr>
            <w:tcW w:w="11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165,035 </w:t>
            </w:r>
          </w:p>
        </w:tc>
        <w:tc>
          <w:tcPr>
            <w:tcW w:w="19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33,543 </w:t>
            </w:r>
          </w:p>
        </w:tc>
        <w:tc>
          <w:tcPr>
            <w:tcW w:w="11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33,532 </w:t>
            </w:r>
          </w:p>
        </w:tc>
        <w:tc>
          <w:tcPr>
            <w:tcW w:w="19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175,670 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173,358 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339,337 </w:t>
            </w:r>
          </w:p>
        </w:tc>
        <w:tc>
          <w:tcPr>
            <w:tcW w:w="11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383,673 </w:t>
            </w:r>
          </w:p>
        </w:tc>
        <w:tc>
          <w:tcPr>
            <w:tcW w:w="19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47,159 </w:t>
            </w:r>
          </w:p>
        </w:tc>
        <w:tc>
          <w:tcPr>
            <w:tcW w:w="11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9,146 </w:t>
            </w:r>
          </w:p>
        </w:tc>
        <w:tc>
          <w:tcPr>
            <w:tcW w:w="19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Investments and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401,548 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408,299 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270"/>
        <w:jc w:val="both"/>
        <w:rPr/>
      </w:pPr>
      <w:r>
        <w:rPr>
          <w:rFonts w:ascii="Times New Roman;serif" w:hAnsi="Times New Roman;serif"/>
          <w:b w:val="false"/>
          <w:color w:val="000000"/>
          <w:sz w:val="20"/>
        </w:rPr>
        <w:t>In addition to the discussion on Cash and Cash Equivalents and Fixed Maturities that follows herein, please see the "</w:t>
      </w:r>
      <w:r>
        <w:rPr>
          <w:rFonts w:ascii="Times New Roman;serif" w:hAnsi="Times New Roman;serif"/>
          <w:b w:val="false"/>
          <w:i/>
          <w:color w:val="000000"/>
          <w:sz w:val="20"/>
        </w:rPr>
        <w:t>Notes to Condensed Consolidated Financial Statements (unaudited) Note 4. Investments</w:t>
      </w:r>
      <w:r>
        <w:rPr>
          <w:rFonts w:ascii="Times New Roman;serif" w:hAnsi="Times New Roman;serif"/>
          <w:b w:val="false"/>
          <w:color w:val="000000"/>
          <w:sz w:val="20"/>
        </w:rPr>
        <w:t>" included under Part I Item 1 "</w:t>
      </w:r>
      <w:r>
        <w:rPr>
          <w:rFonts w:ascii="Times New Roman;serif" w:hAnsi="Times New Roman;serif"/>
          <w:b w:val="false"/>
          <w:i/>
          <w:color w:val="000000"/>
          <w:sz w:val="20"/>
        </w:rPr>
        <w:t xml:space="preserve">Financial Information" </w:t>
      </w:r>
      <w:r>
        <w:rPr>
          <w:rFonts w:ascii="Times New Roman;serif" w:hAnsi="Times New Roman;serif"/>
          <w:b w:val="false"/>
          <w:color w:val="000000"/>
          <w:sz w:val="20"/>
        </w:rPr>
        <w:t>of this Form 10-Q for further discussion on our AFS fixed income securities.</w:t>
      </w:r>
    </w:p>
    <w:p>
      <w:pPr>
        <w:pStyle w:val="TextBody"/>
        <w:bidi w:val="0"/>
        <w:spacing w:lineRule="auto" w:line="240" w:before="0" w:after="120"/>
        <w:ind w:left="0" w:right="0" w:firstLine="270"/>
        <w:jc w:val="both"/>
        <w:rPr/>
      </w:pPr>
      <w:r>
        <w:rPr>
          <w:rFonts w:ascii="Times New Roman;serif" w:hAnsi="Times New Roman;serif"/>
          <w:b w:val="false"/>
          <w:color w:val="000000"/>
          <w:sz w:val="20"/>
        </w:rPr>
        <w:t>The net purchases of other investments for the three months ended March 31, 2026 were related to pre-existing commitments for alternative investments made prior to the Combination. Other than purchases for these pre-existing commitments, we have not made and will not be making new commitments to alternative investments in the foreseeable future. Please see the "</w:t>
      </w:r>
      <w:r>
        <w:rPr>
          <w:rFonts w:ascii="Times New Roman;serif" w:hAnsi="Times New Roman;serif"/>
          <w:b w:val="false"/>
          <w:i/>
          <w:color w:val="000000"/>
          <w:sz w:val="20"/>
        </w:rPr>
        <w:t>Notes to Condensed Consolidated Financial Statements (unaudited) Note 11. Commitments, Contingencies and Guarantees</w:t>
      </w:r>
      <w:r>
        <w:rPr>
          <w:rFonts w:ascii="Times New Roman;serif" w:hAnsi="Times New Roman;serif"/>
          <w:b w:val="false"/>
          <w:color w:val="000000"/>
          <w:sz w:val="20"/>
        </w:rPr>
        <w:t>" included under Part I Item 1 "</w:t>
      </w:r>
      <w:r>
        <w:rPr>
          <w:rFonts w:ascii="Times New Roman;serif" w:hAnsi="Times New Roman;serif"/>
          <w:b w:val="false"/>
          <w:i/>
          <w:color w:val="000000"/>
          <w:sz w:val="20"/>
        </w:rPr>
        <w:t xml:space="preserve">Financial Information" </w:t>
      </w:r>
      <w:r>
        <w:rPr>
          <w:rFonts w:ascii="Times New Roman;serif" w:hAnsi="Times New Roman;serif"/>
          <w:b w:val="false"/>
          <w:color w:val="000000"/>
          <w:sz w:val="20"/>
        </w:rPr>
        <w:t>of this Form 10-Q for existing investment commitments on our alternative investments.</w:t>
      </w:r>
    </w:p>
    <w:p>
      <w:pPr>
        <w:pStyle w:val="TextBody"/>
        <w:bidi w:val="0"/>
        <w:spacing w:lineRule="auto" w:line="240" w:before="0" w:after="120"/>
        <w:ind w:left="0" w:right="0" w:firstLine="270"/>
        <w:jc w:val="both"/>
        <w:rPr/>
      </w:pPr>
      <w:r>
        <w:rPr>
          <w:rFonts w:ascii="Times New Roman;serif" w:hAnsi="Times New Roman;serif"/>
          <w:b w:val="false"/>
          <w:color w:val="000000"/>
          <w:sz w:val="20"/>
        </w:rPr>
        <w:t>Under Maiden's approved investment policy, alternative investments could include, but are not limited to, privately held investments, private equities, private credit lending funds, fixed-income funds, equity funds, real estate (including joint ventures and limited partnerships) and other non-fixed-income investments. For further details on our alternative investments, in addition to the discussion of the investments herein, please see "</w:t>
      </w:r>
      <w:r>
        <w:rPr>
          <w:rFonts w:ascii="Times New Roman;serif" w:hAnsi="Times New Roman;serif"/>
          <w:b w:val="false"/>
          <w:i/>
          <w:color w:val="000000"/>
          <w:sz w:val="20"/>
        </w:rPr>
        <w:t>Notes to Condensed Consolidated Financial Statements (unaudited) Note 4(b). Other Investments, Equity Securities and Equity Method Investments</w:t>
      </w:r>
      <w:r>
        <w:rPr>
          <w:color w:val="000000"/>
        </w:rPr>
        <w:t xml:space="preserve"> </w:t>
      </w:r>
      <w:r>
        <w:rPr>
          <w:rFonts w:ascii="Times New Roman;serif" w:hAnsi="Times New Roman;serif"/>
          <w:b w:val="false"/>
          <w:color w:val="000000"/>
          <w:sz w:val="20"/>
        </w:rPr>
        <w:t>included under Part I Item 1 "</w:t>
      </w:r>
      <w:r>
        <w:rPr>
          <w:rFonts w:ascii="Times New Roman;serif" w:hAnsi="Times New Roman;serif"/>
          <w:b w:val="false"/>
          <w:i/>
          <w:color w:val="000000"/>
          <w:sz w:val="20"/>
        </w:rPr>
        <w:t>Financial Information</w:t>
      </w:r>
      <w:r>
        <w:rPr>
          <w:rFonts w:ascii="Times New Roman;serif" w:hAnsi="Times New Roman;serif"/>
          <w:b w:val="false"/>
          <w:color w:val="000000"/>
          <w:sz w:val="20"/>
        </w:rPr>
        <w:t>" of this Form 10-Q.</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Our investment performance is subject to a variety of risks, including risks related to general economic conditions, market volatility, interest rate fluctuations, foreign exchange risk, liquidity risk and credit and default risk. Interest rates are highly sensitive to many factors, including governmental monetary policies, domestic and international economic and political conditions and other factors beyond our control. An increase in interest rates could result in significant losses, realized or unrealized, in the value of our investment portfolio. A portion of our portfolio consists of alternative investments that subject us to restrictions on redemption, which may limit our ability to withdraw funds for some period of time after the initial investment. The values of, and returns on, such investments may also be more volatile.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believe the legacy Maiden alternative investment portfolio assumed in the Combination provides diversification against our fixed-income investments and an opportunity for improved risk-adjusted returns. However, we believe this portfolio is not suitable for our plans to expand our Program Services segment and in addition to changes in our investment policy as described above, we are actively looking to dispose of these assets to further improve our liquidity position and strengthen our ability to grow. Further, the returns of these investments may be more volatile and we may experience significant unrealized gains or losses in any particular quarter or year. While we believe the returns produced by these investments will exceed our cost of capital, in particular our cost of debt capital, it is too soon to determine if the actual returns will achieve this objective and it may be an extended period of time before that determination can be made.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We may utilize and pay fees to various companies to provide investment advisory and/or management services related to these investments. These fees, which would be predominantly based upon the amount of assets under management, would be included in net investment income. In addition, costs associated with evaluating, analyzing and monitoring these investments may require additional expenditures than traditional marketable securities. </w:t>
      </w:r>
    </w:p>
    <w:p>
      <w:pPr>
        <w:pStyle w:val="TextBody"/>
        <w:bidi w:val="0"/>
        <w:spacing w:lineRule="auto" w:line="240" w:before="0" w:after="120"/>
        <w:jc w:val="both"/>
        <w:rPr>
          <w:rFonts w:ascii="Times New Roman;serif" w:hAnsi="Times New Roman;serif"/>
          <w:b w:val="false"/>
          <w:i/>
          <w:color w:val="000000"/>
          <w:sz w:val="20"/>
        </w:rPr>
      </w:pPr>
      <w:r>
        <w:rPr>
          <w:rFonts w:ascii="Times New Roman;serif" w:hAnsi="Times New Roman;serif"/>
          <w:b w:val="false"/>
          <w:i/>
          <w:color w:val="000000"/>
          <w:sz w:val="20"/>
        </w:rPr>
        <w:t>Cash &amp; Cash Equivalents</w:t>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At March 31, 2026, we consider the levels of cash and cash equivalents held to be within our targeted ranges. As noted previously, the cash consideration and related significant professional expenses associated with completing the Combination has utilized substantial amounts of Maiden's unrestricted liquidity. Ongoing legal disputes and proceedings may result in significant legal fees or adverse outcomes that could further utilize and negatively impact our unrestricted liquidity as well. In addition, during periods when interest rates experience greater volatility, we have periodically maintained more cash and cash equivalents to better assess current market conditions and opportunities within our defined risk appetite, and may do so in future periods.</w:t>
      </w:r>
    </w:p>
    <w:p>
      <w:pPr>
        <w:pStyle w:val="TextBody"/>
        <w:bidi w:val="0"/>
        <w:spacing w:before="0" w:after="0"/>
        <w:ind w:left="0" w:right="0" w:firstLine="270"/>
        <w:jc w:val="both"/>
        <w:rPr/>
      </w:pPr>
      <w:r>
        <w:rPr/>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Fixed Maturity Investments</w:t>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average yield and average duration of our fixed maturity investments, by asset class, and our cash and cash equivalents (restricted and unrestricted) are as follows at March 31, 2026 and December 31, 2025:</w:t>
      </w:r>
    </w:p>
    <w:tbl>
      <w:tblPr>
        <w:tblW w:w="10205" w:type="dxa"/>
        <w:jc w:val="center"/>
        <w:tblInd w:w="0" w:type="dxa"/>
        <w:tblLayout w:type="fixed"/>
        <w:tblCellMar>
          <w:top w:w="28" w:type="dxa"/>
          <w:left w:w="28" w:type="dxa"/>
          <w:bottom w:w="28" w:type="dxa"/>
          <w:right w:w="28" w:type="dxa"/>
        </w:tblCellMar>
      </w:tblPr>
      <w:tblGrid>
        <w:gridCol w:w="785"/>
        <w:gridCol w:w="690"/>
        <w:gridCol w:w="699"/>
        <w:gridCol w:w="109"/>
        <w:gridCol w:w="109"/>
        <w:gridCol w:w="109"/>
        <w:gridCol w:w="224"/>
        <w:gridCol w:w="880"/>
        <w:gridCol w:w="116"/>
        <w:gridCol w:w="109"/>
        <w:gridCol w:w="109"/>
        <w:gridCol w:w="109"/>
        <w:gridCol w:w="256"/>
        <w:gridCol w:w="568"/>
        <w:gridCol w:w="134"/>
        <w:gridCol w:w="109"/>
        <w:gridCol w:w="109"/>
        <w:gridCol w:w="109"/>
        <w:gridCol w:w="252"/>
        <w:gridCol w:w="577"/>
        <w:gridCol w:w="130"/>
        <w:gridCol w:w="109"/>
        <w:gridCol w:w="109"/>
        <w:gridCol w:w="109"/>
        <w:gridCol w:w="211"/>
        <w:gridCol w:w="826"/>
        <w:gridCol w:w="109"/>
        <w:gridCol w:w="109"/>
        <w:gridCol w:w="109"/>
        <w:gridCol w:w="109"/>
        <w:gridCol w:w="239"/>
        <w:gridCol w:w="178"/>
        <w:gridCol w:w="448"/>
        <w:gridCol w:w="109"/>
        <w:gridCol w:w="109"/>
        <w:gridCol w:w="109"/>
        <w:gridCol w:w="267"/>
        <w:gridCol w:w="267"/>
        <w:gridCol w:w="387"/>
      </w:tblGrid>
      <w:tr>
        <w:trPr/>
        <w:tc>
          <w:tcPr>
            <w:tcW w:w="78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Original or 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center"/>
              <w:rPr/>
            </w:pPr>
            <w:r>
              <w:rPr>
                <w:rFonts w:ascii="Times New Roman;serif" w:hAnsi="Times New Roman;serif"/>
                <w:b/>
                <w:color w:val="000000"/>
                <w:sz w:val="16"/>
              </w:rPr>
              <w:t>Average yield</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center"/>
              <w:rPr/>
            </w:pPr>
            <w:r>
              <w:rPr>
                <w:rFonts w:ascii="Times New Roman;serif" w:hAnsi="Times New Roman;serif"/>
                <w:b/>
                <w:color w:val="000000"/>
                <w:sz w:val="16"/>
              </w:rPr>
              <w:t>Average duration</w:t>
            </w:r>
            <w:r>
              <w:rPr>
                <w:rFonts w:ascii="Times New Roman;serif" w:hAnsi="Times New Roman;serif"/>
                <w:b/>
                <w:color w:val="000000"/>
                <w:sz w:val="10"/>
              </w:rPr>
              <w:t>(2)</w:t>
            </w:r>
          </w:p>
        </w:tc>
      </w:tr>
      <w:tr>
        <w:trPr/>
        <w:tc>
          <w:tcPr>
            <w:tcW w:w="21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U.S. agency bonds – mortgage-backed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20,400 </w:t>
            </w:r>
          </w:p>
        </w:tc>
        <w:tc>
          <w:tcPr>
            <w:tcW w:w="11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3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20,947 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48"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8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government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62,685 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87"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17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28,479 </w:t>
            </w:r>
          </w:p>
        </w:tc>
        <w:tc>
          <w:tcPr>
            <w:tcW w:w="11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3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3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28,479 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48"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8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fixed maturity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118,298 </w:t>
            </w:r>
          </w:p>
        </w:tc>
        <w:tc>
          <w:tcPr>
            <w:tcW w:w="11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3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w:t>
            </w:r>
          </w:p>
        </w:tc>
        <w:tc>
          <w:tcPr>
            <w:tcW w:w="13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118,376 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48"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8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62,211 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180,509 </w:t>
            </w:r>
          </w:p>
        </w:tc>
        <w:tc>
          <w:tcPr>
            <w:tcW w:w="1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3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w:t>
            </w:r>
          </w:p>
        </w:tc>
        <w:tc>
          <w:tcPr>
            <w:tcW w:w="13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180,587 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48"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8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86"/>
        <w:gridCol w:w="692"/>
        <w:gridCol w:w="696"/>
        <w:gridCol w:w="109"/>
        <w:gridCol w:w="109"/>
        <w:gridCol w:w="109"/>
        <w:gridCol w:w="224"/>
        <w:gridCol w:w="880"/>
        <w:gridCol w:w="116"/>
        <w:gridCol w:w="109"/>
        <w:gridCol w:w="109"/>
        <w:gridCol w:w="109"/>
        <w:gridCol w:w="256"/>
        <w:gridCol w:w="568"/>
        <w:gridCol w:w="134"/>
        <w:gridCol w:w="109"/>
        <w:gridCol w:w="109"/>
        <w:gridCol w:w="109"/>
        <w:gridCol w:w="252"/>
        <w:gridCol w:w="577"/>
        <w:gridCol w:w="130"/>
        <w:gridCol w:w="109"/>
        <w:gridCol w:w="109"/>
        <w:gridCol w:w="109"/>
        <w:gridCol w:w="211"/>
        <w:gridCol w:w="826"/>
        <w:gridCol w:w="109"/>
        <w:gridCol w:w="109"/>
        <w:gridCol w:w="109"/>
        <w:gridCol w:w="109"/>
        <w:gridCol w:w="239"/>
        <w:gridCol w:w="178"/>
        <w:gridCol w:w="448"/>
        <w:gridCol w:w="109"/>
        <w:gridCol w:w="109"/>
        <w:gridCol w:w="109"/>
        <w:gridCol w:w="267"/>
        <w:gridCol w:w="267"/>
        <w:gridCol w:w="387"/>
      </w:tblGrid>
      <w:tr>
        <w:trPr/>
        <w:tc>
          <w:tcPr>
            <w:tcW w:w="7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Original or 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center"/>
              <w:rPr/>
            </w:pPr>
            <w:r>
              <w:rPr>
                <w:rFonts w:ascii="Times New Roman;serif" w:hAnsi="Times New Roman;serif"/>
                <w:b/>
                <w:color w:val="000000"/>
                <w:sz w:val="16"/>
              </w:rPr>
              <w:t>Average yield</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center"/>
              <w:rPr/>
            </w:pPr>
            <w:r>
              <w:rPr>
                <w:rFonts w:ascii="Times New Roman;serif" w:hAnsi="Times New Roman;serif"/>
                <w:b/>
                <w:color w:val="000000"/>
                <w:sz w:val="16"/>
              </w:rPr>
              <w:t>Average duration</w:t>
            </w:r>
            <w:r>
              <w:rPr>
                <w:rFonts w:ascii="Times New Roman;serif" w:hAnsi="Times New Roman;serif"/>
                <w:b/>
                <w:color w:val="000000"/>
                <w:sz w:val="10"/>
              </w:rPr>
              <w:t>(2)</w:t>
            </w:r>
          </w:p>
        </w:tc>
      </w:tr>
      <w:tr>
        <w:trPr/>
        <w:tc>
          <w:tcPr>
            <w:tcW w:w="21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U.S. treasury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43,662 </w:t>
            </w:r>
          </w:p>
        </w:tc>
        <w:tc>
          <w:tcPr>
            <w:tcW w:w="11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43,673 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48"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8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U.S. agency bonds – mortgage-backed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217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government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29,297 </w:t>
            </w:r>
          </w:p>
        </w:tc>
        <w:tc>
          <w:tcPr>
            <w:tcW w:w="11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3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29,143 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48"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87"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62,593 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7,977 </w:t>
            </w:r>
          </w:p>
        </w:tc>
        <w:tc>
          <w:tcPr>
            <w:tcW w:w="11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7,977 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48"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8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fixed maturity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164,352 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Cash and cash equivalents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24,626 </w:t>
            </w:r>
          </w:p>
        </w:tc>
        <w:tc>
          <w:tcPr>
            <w:tcW w:w="11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24,626 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38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188,978 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Average yield is calculated by dividing annualized investment income for each sub-component of fixed maturity securities and cash and cash equivalents (including amortization of premium or discount) by amortized cost.</w:t>
      </w:r>
    </w:p>
    <w:p>
      <w:pPr>
        <w:pStyle w:val="TextBody"/>
        <w:bidi w:val="0"/>
        <w:spacing w:lineRule="auto" w:line="240" w:before="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Average duration in years.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yield on the 10-year U.S. Treasury bond increased by 12 basis points to 4.30%. The 10-year U.S. Treasury rate is the key risk-free determinant in the fair value of many of the fixed maturity securities in our portfolio. The increase in risk-free rates during the three months ended March 31, 2026 generated net unrealized losses of $0.6 million on our fixed maturity investment portfolio which reduced our book value per common share by $0.08 during the period. Current outlooks for global monetary policy have become more uncertain in recent months, as a combination of significant changes in U.S. fiscal and trade policy while simultaneously, geopolitical circumstances and rapid technological advancements have created increased economic uncertainty. The impacts of these policies and conditions on both U.S. and global economic outlooks and inflation appear to be causing central banks to adopt a generally more neutral monetary policy stance currently. However, these conflicting economic indicators is also resulting in some uncertainty that this policy stance will be maintained. Should interest rates fall, the impact on our investment portfolios, particularly for our fixed maturity assets, is to produce less income and thus weaken our financial condition. Associated increases in the values of our fixed maturity investments may be more limited given that 24.1% of AFS fixed maturity investments that we hold that are floating rate securities.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Interest rate risk is the price sensitivity of a security to changes in interest rates. Credit spread risk is the price sensitivity of a security to changes in credit spreads. As noted, the fair value of our fixed maturity investments will fluctuate with changes in interest rates and credit spreads.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attempt to maintain adequate liquidity in our fixed maturity investments portfolio with a strategy designed to emphasize the preservation of our invested assets and provide sufficient liquidity for the prompt payment of claims and contract liabilities. Because we collateralize a significant portion of our insurance liabilities, unanticipated or large increases in interest rates could require us to utilize significant amounts of unrestricted cash and fixed maturity securities to provide additional collateral, which could impact our asset and capital management strategy described herein.</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We also monitor the duration and structure of our AFS fixed maturity investment portfolio as discussed below. As of March 31, 2026, the aggregate hypothetical change in fair value from an immediate 100 basis points increase in interest rates, assuming credit spreads remain constant, in our fixed maturity investments portfolio would decrease the fair value of that portfolio by $2.5 million. Actual shifts in interest rates may not change by the same magnitude across the maturity spectrum or on an individual security and, as a result, the impact on the fair value of our fixed maturity securities may be materially different from the resulting change in value described above. To limit our exposure to unexpected interest rate increases which would reduce the value of our fixed income securities and reduce our shareholders' equity, we attempt to maintain the duration of our fixed maturity investment portfolio combined with our cash and cash equivalents, both restricted and unrestricted, within a reasonable range of the duration of our loss reserves.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At March 31, 2026 and December 31, 2025, these respective durations in years were as follows:</w:t>
      </w:r>
    </w:p>
    <w:tbl>
      <w:tblPr>
        <w:tblW w:w="8871" w:type="dxa"/>
        <w:jc w:val="center"/>
        <w:tblInd w:w="0" w:type="dxa"/>
        <w:tblLayout w:type="fixed"/>
        <w:tblCellMar>
          <w:top w:w="28" w:type="dxa"/>
          <w:left w:w="28" w:type="dxa"/>
          <w:bottom w:w="28" w:type="dxa"/>
          <w:right w:w="28" w:type="dxa"/>
        </w:tblCellMar>
      </w:tblPr>
      <w:tblGrid>
        <w:gridCol w:w="1959"/>
        <w:gridCol w:w="1721"/>
        <w:gridCol w:w="1734"/>
        <w:gridCol w:w="109"/>
        <w:gridCol w:w="109"/>
        <w:gridCol w:w="109"/>
        <w:gridCol w:w="419"/>
        <w:gridCol w:w="419"/>
        <w:gridCol w:w="421"/>
        <w:gridCol w:w="109"/>
        <w:gridCol w:w="109"/>
        <w:gridCol w:w="109"/>
        <w:gridCol w:w="452"/>
        <w:gridCol w:w="452"/>
        <w:gridCol w:w="640"/>
      </w:tblGrid>
      <w:tr>
        <w:trPr/>
        <w:tc>
          <w:tcPr>
            <w:tcW w:w="1959"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414"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Fixed maturities and cash and cash equivalents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ind w:left="0" w:right="0" w:hanging="135"/>
              <w:jc w:val="right"/>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investment portfolio (excluding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640"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541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loss and LAE - gross of LPT/ADC Agreement reserves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loss and LAE - net of LPT/ADC Agreement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r>
    </w:tbl>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the weighted average duration of our fixed maturity investment portfolio increased by 0.2 years to 1.2 years while the duration for gross reserve for loss and LAE remained the same at 6.2 years. The differential in duration between these assets and liabilities may fluctuate over time and in the case of fixed maturities, historically has been affected by factors such as market conditions, changes in asset mix and prepayment speeds in the case of both our U.S. agency mortgage-backed securities ("Agency MBS") and commercial mortgage-backed securities held.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At March 31, 2026, the duration of our loss reserves net of the LPT/ADC Agreement was higher than the duration of our fixed maturity investment portfolio. To limit our exposure to unexpected interest rate increases that could reduce the value of our fixed maturity securities and reduce our shareholders' equity, the Company holds floating rate securities whose fair values are less sensitive to interest rates. At March 31, 2026, 40.2% (December 31, 2025: 52.0%) of our fixed maturity securities were comprised of floating rate securities which are detailed in the table below:</w:t>
      </w:r>
    </w:p>
    <w:tbl>
      <w:tblPr>
        <w:tblW w:w="9988" w:type="dxa"/>
        <w:jc w:val="center"/>
        <w:tblInd w:w="0" w:type="dxa"/>
        <w:tblLayout w:type="fixed"/>
        <w:tblCellMar>
          <w:top w:w="28" w:type="dxa"/>
          <w:left w:w="28" w:type="dxa"/>
          <w:bottom w:w="28" w:type="dxa"/>
          <w:right w:w="28" w:type="dxa"/>
        </w:tblCellMar>
      </w:tblPr>
      <w:tblGrid>
        <w:gridCol w:w="1560"/>
        <w:gridCol w:w="1370"/>
        <w:gridCol w:w="1374"/>
        <w:gridCol w:w="109"/>
        <w:gridCol w:w="109"/>
        <w:gridCol w:w="109"/>
        <w:gridCol w:w="211"/>
        <w:gridCol w:w="826"/>
        <w:gridCol w:w="109"/>
        <w:gridCol w:w="109"/>
        <w:gridCol w:w="109"/>
        <w:gridCol w:w="109"/>
        <w:gridCol w:w="255"/>
        <w:gridCol w:w="256"/>
        <w:gridCol w:w="501"/>
        <w:gridCol w:w="109"/>
        <w:gridCol w:w="109"/>
        <w:gridCol w:w="109"/>
        <w:gridCol w:w="211"/>
        <w:gridCol w:w="826"/>
        <w:gridCol w:w="109"/>
        <w:gridCol w:w="109"/>
        <w:gridCol w:w="109"/>
        <w:gridCol w:w="109"/>
        <w:gridCol w:w="255"/>
        <w:gridCol w:w="256"/>
        <w:gridCol w:w="561"/>
      </w:tblGrid>
      <w:tr>
        <w:trPr/>
        <w:tc>
          <w:tcPr>
            <w:tcW w:w="15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430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Floating rate securities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floating rate AFS fixed maturities at fair value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28,479 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50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62,624 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56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to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35"/>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0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floating rate securities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107,085 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50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149,507 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56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ind w:left="0" w:right="0" w:hanging="135"/>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color w:val="000000"/>
                <w:sz w:val="20"/>
              </w:rPr>
              <w:t xml:space="preserve">Total fixed income investments at fair value </w:t>
            </w:r>
            <w:r>
              <w:rPr>
                <w:rFonts w:ascii="Times New Roman;serif" w:hAnsi="Times New Roman;serif"/>
                <w:b/>
                <w:color w:val="000000"/>
                <w:sz w:val="13"/>
              </w:rPr>
              <w:t>(1)</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266,641 </w:t>
            </w:r>
          </w:p>
        </w:tc>
        <w:tc>
          <w:tcPr>
            <w:tcW w:w="109" w:type="dxa"/>
            <w:tcBorders>
              <w:bottom w:val="double" w:sz="8" w:space="0" w:color="000000"/>
            </w:tcBorders>
            <w:shd w:fill="CDFFC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287,500 </w:t>
            </w:r>
          </w:p>
        </w:tc>
        <w:tc>
          <w:tcPr>
            <w:tcW w:w="109" w:type="dxa"/>
            <w:tcBorders>
              <w:bottom w:val="double" w:sz="8" w:space="0" w:color="000000"/>
            </w:tcBorders>
            <w:shd w:fill="CDFFC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(1) Total fixed income investments at fair value include AFS fixed maturity securities, cash, restricted cash and cash equivalents, funds withheld receivable, and net loan receivable from related party.</w:t>
      </w:r>
    </w:p>
    <w:p>
      <w:pPr>
        <w:pStyle w:val="TextBody"/>
        <w:bidi w:val="0"/>
        <w:spacing w:before="0" w:after="0"/>
        <w:jc w:val="both"/>
        <w:rPr/>
      </w:pPr>
      <w:r>
        <w:rPr/>
      </w:r>
    </w:p>
    <w:p>
      <w:pPr>
        <w:pStyle w:val="TextBody"/>
        <w:bidi w:val="0"/>
        <w:spacing w:lineRule="auto" w:line="240" w:before="0" w:after="6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At March 31, 2026 and December 31, 2025, 100.0% of the Company’s U.S. agency bond holdings are mortgage-backed. Total U.S. agency MBS comprise 17.7% of our fixed maturity investment portfolio at March 31, 2026. Given their relative size to our total investments, if faster prepayment patterns were to occur over an extended period of time, this could potentially limit the growth in our investment income in certain circumstances or reduce the total amount of investment income we earn. The fair value of our U.S. Agency MBS holdings at March 31, 2026 and December 31, 2025 were as follows: </w:t>
      </w:r>
    </w:p>
    <w:tbl>
      <w:tblPr>
        <w:tblW w:w="7784" w:type="dxa"/>
        <w:jc w:val="center"/>
        <w:tblInd w:w="0" w:type="dxa"/>
        <w:tblLayout w:type="fixed"/>
        <w:tblCellMar>
          <w:top w:w="28" w:type="dxa"/>
          <w:left w:w="28" w:type="dxa"/>
          <w:bottom w:w="28" w:type="dxa"/>
          <w:right w:w="28" w:type="dxa"/>
        </w:tblCellMar>
      </w:tblPr>
      <w:tblGrid>
        <w:gridCol w:w="762"/>
        <w:gridCol w:w="667"/>
        <w:gridCol w:w="671"/>
        <w:gridCol w:w="109"/>
        <w:gridCol w:w="109"/>
        <w:gridCol w:w="109"/>
        <w:gridCol w:w="211"/>
        <w:gridCol w:w="721"/>
        <w:gridCol w:w="109"/>
        <w:gridCol w:w="109"/>
        <w:gridCol w:w="109"/>
        <w:gridCol w:w="109"/>
        <w:gridCol w:w="307"/>
        <w:gridCol w:w="309"/>
        <w:gridCol w:w="501"/>
        <w:gridCol w:w="109"/>
        <w:gridCol w:w="109"/>
        <w:gridCol w:w="109"/>
        <w:gridCol w:w="211"/>
        <w:gridCol w:w="721"/>
        <w:gridCol w:w="109"/>
        <w:gridCol w:w="109"/>
        <w:gridCol w:w="109"/>
        <w:gridCol w:w="109"/>
        <w:gridCol w:w="307"/>
        <w:gridCol w:w="309"/>
        <w:gridCol w:w="561"/>
      </w:tblGrid>
      <w:tr>
        <w:trPr/>
        <w:tc>
          <w:tcPr>
            <w:tcW w:w="76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 fixed rate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12,821 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50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13,184 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56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FHLMC – fixed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0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GNMA – variable rate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50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56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FGLMC – fixed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35"/>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0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U.S. Agency MBS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20,947 </w:t>
            </w:r>
          </w:p>
        </w:tc>
        <w:tc>
          <w:tcPr>
            <w:tcW w:w="109"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01"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21,618 </w:t>
            </w:r>
          </w:p>
        </w:tc>
        <w:tc>
          <w:tcPr>
            <w:tcW w:w="109"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61"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At March 31, 2026 and December 31, 2025, 100.0% of our fixed maturity investments consisted of investment grade securities. We define a security as being below investment grade if it has an S&amp;P credit rating of BB+ or equivalent, or less. Please see </w:t>
      </w:r>
      <w:r>
        <w:rPr>
          <w:rFonts w:ascii="Times New Roman;serif" w:hAnsi="Times New Roman;serif"/>
          <w:b w:val="false"/>
          <w:i/>
          <w:color w:val="000000"/>
          <w:sz w:val="20"/>
        </w:rPr>
        <w:t>Part I, Item 1: Notes to Condensed Consolidated Financial Statements (unaudited) Note 4. Investments</w:t>
      </w:r>
      <w:r>
        <w:rPr>
          <w:color w:val="000000"/>
        </w:rPr>
        <w:t xml:space="preserve"> </w:t>
      </w:r>
      <w:r>
        <w:rPr>
          <w:rFonts w:ascii="Times New Roman;serif" w:hAnsi="Times New Roman;serif"/>
          <w:b w:val="false"/>
          <w:color w:val="000000"/>
          <w:sz w:val="20"/>
        </w:rPr>
        <w:t xml:space="preserve">for additional information on the credit rating of our fixed maturity investment portfolio. Credit ratings in the table below are assigned by S&amp;P, or an equivalent rating agency.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security holdings by sector and financial strength rating of our corporate bond holdings at March 31, 2026 and December 31, 2025 were as follows:</w:t>
      </w:r>
    </w:p>
    <w:tbl>
      <w:tblPr>
        <w:tblW w:w="10075" w:type="dxa"/>
        <w:jc w:val="center"/>
        <w:tblInd w:w="0" w:type="dxa"/>
        <w:tblLayout w:type="fixed"/>
        <w:tblCellMar>
          <w:top w:w="28" w:type="dxa"/>
          <w:left w:w="28" w:type="dxa"/>
          <w:bottom w:w="28" w:type="dxa"/>
          <w:right w:w="28" w:type="dxa"/>
        </w:tblCellMar>
      </w:tblPr>
      <w:tblGrid>
        <w:gridCol w:w="672"/>
        <w:gridCol w:w="591"/>
        <w:gridCol w:w="597"/>
        <w:gridCol w:w="109"/>
        <w:gridCol w:w="109"/>
        <w:gridCol w:w="109"/>
        <w:gridCol w:w="109"/>
        <w:gridCol w:w="109"/>
        <w:gridCol w:w="109"/>
        <w:gridCol w:w="109"/>
        <w:gridCol w:w="255"/>
        <w:gridCol w:w="256"/>
        <w:gridCol w:w="441"/>
        <w:gridCol w:w="109"/>
        <w:gridCol w:w="109"/>
        <w:gridCol w:w="109"/>
        <w:gridCol w:w="305"/>
        <w:gridCol w:w="305"/>
        <w:gridCol w:w="769"/>
        <w:gridCol w:w="109"/>
        <w:gridCol w:w="109"/>
        <w:gridCol w:w="109"/>
        <w:gridCol w:w="109"/>
        <w:gridCol w:w="109"/>
        <w:gridCol w:w="109"/>
        <w:gridCol w:w="109"/>
        <w:gridCol w:w="277"/>
        <w:gridCol w:w="810"/>
        <w:gridCol w:w="143"/>
        <w:gridCol w:w="109"/>
        <w:gridCol w:w="109"/>
        <w:gridCol w:w="109"/>
        <w:gridCol w:w="502"/>
        <w:gridCol w:w="502"/>
        <w:gridCol w:w="1470"/>
      </w:tblGrid>
      <w:tr>
        <w:trPr/>
        <w:tc>
          <w:tcPr>
            <w:tcW w:w="67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Ratings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 A,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BBB+, BBB, BBB-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Corporate bonds portfolio</w:t>
            </w:r>
          </w:p>
        </w:tc>
      </w:tr>
      <w:tr>
        <w:trPr/>
        <w:tc>
          <w:tcPr>
            <w:tcW w:w="1860"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Corporate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Financial Institutions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 xml:space="preserve">Total </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44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76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6,642 </w:t>
            </w:r>
          </w:p>
        </w:tc>
        <w:tc>
          <w:tcPr>
            <w:tcW w:w="14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47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00" w:after="283"/>
        <w:jc w:val="center"/>
        <w:rPr/>
      </w:pPr>
      <w:r>
        <w:rPr/>
      </w:r>
    </w:p>
    <w:tbl>
      <w:tblPr>
        <w:tblW w:w="9857" w:type="dxa"/>
        <w:jc w:val="center"/>
        <w:tblInd w:w="0" w:type="dxa"/>
        <w:tblLayout w:type="fixed"/>
        <w:tblCellMar>
          <w:top w:w="28" w:type="dxa"/>
          <w:left w:w="28" w:type="dxa"/>
          <w:bottom w:w="28" w:type="dxa"/>
          <w:right w:w="28" w:type="dxa"/>
        </w:tblCellMar>
      </w:tblPr>
      <w:tblGrid>
        <w:gridCol w:w="672"/>
        <w:gridCol w:w="593"/>
        <w:gridCol w:w="595"/>
        <w:gridCol w:w="109"/>
        <w:gridCol w:w="109"/>
        <w:gridCol w:w="109"/>
        <w:gridCol w:w="109"/>
        <w:gridCol w:w="109"/>
        <w:gridCol w:w="109"/>
        <w:gridCol w:w="109"/>
        <w:gridCol w:w="255"/>
        <w:gridCol w:w="256"/>
        <w:gridCol w:w="441"/>
        <w:gridCol w:w="109"/>
        <w:gridCol w:w="109"/>
        <w:gridCol w:w="109"/>
        <w:gridCol w:w="305"/>
        <w:gridCol w:w="305"/>
        <w:gridCol w:w="769"/>
        <w:gridCol w:w="109"/>
        <w:gridCol w:w="109"/>
        <w:gridCol w:w="109"/>
        <w:gridCol w:w="109"/>
        <w:gridCol w:w="109"/>
        <w:gridCol w:w="277"/>
        <w:gridCol w:w="810"/>
        <w:gridCol w:w="143"/>
        <w:gridCol w:w="109"/>
        <w:gridCol w:w="109"/>
        <w:gridCol w:w="109"/>
        <w:gridCol w:w="502"/>
        <w:gridCol w:w="502"/>
        <w:gridCol w:w="1470"/>
      </w:tblGrid>
      <w:tr>
        <w:trPr/>
        <w:tc>
          <w:tcPr>
            <w:tcW w:w="67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5" w:type="dxa"/>
            <w:gridSpan w:val="12"/>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Ratings</w:t>
            </w:r>
            <w:r>
              <w:rPr>
                <w:rFonts w:ascii="Times New Roman;serif" w:hAnsi="Times New Roman;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 A,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BBB+, BBB, BBB-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Corporate bonds portfolio</w:t>
            </w:r>
          </w:p>
        </w:tc>
      </w:tr>
      <w:tr>
        <w:trPr/>
        <w:tc>
          <w:tcPr>
            <w:tcW w:w="1860"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Corporate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Financial Institutions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 xml:space="preserve">Total </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44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76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7,977 </w:t>
            </w:r>
          </w:p>
        </w:tc>
        <w:tc>
          <w:tcPr>
            <w:tcW w:w="14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47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40" w:before="0" w:after="6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includes the Company’s total corporate holdings at fair value and as a percentage of all AFS fixed maturity securities held as at March 31, 2026. The Company's corporate holdings are 100.0% euro denominated, and 100.0% held in the Financial Institutions sector. </w:t>
      </w:r>
    </w:p>
    <w:tbl>
      <w:tblPr>
        <w:tblW w:w="8225" w:type="dxa"/>
        <w:jc w:val="center"/>
        <w:tblInd w:w="0" w:type="dxa"/>
        <w:tblLayout w:type="fixed"/>
        <w:tblCellMar>
          <w:top w:w="28" w:type="dxa"/>
          <w:left w:w="28" w:type="dxa"/>
          <w:bottom w:w="28" w:type="dxa"/>
          <w:right w:w="28" w:type="dxa"/>
        </w:tblCellMar>
      </w:tblPr>
      <w:tblGrid>
        <w:gridCol w:w="1462"/>
        <w:gridCol w:w="1287"/>
        <w:gridCol w:w="1300"/>
        <w:gridCol w:w="109"/>
        <w:gridCol w:w="109"/>
        <w:gridCol w:w="109"/>
        <w:gridCol w:w="277"/>
        <w:gridCol w:w="810"/>
        <w:gridCol w:w="143"/>
        <w:gridCol w:w="109"/>
        <w:gridCol w:w="109"/>
        <w:gridCol w:w="109"/>
        <w:gridCol w:w="257"/>
        <w:gridCol w:w="257"/>
        <w:gridCol w:w="641"/>
        <w:gridCol w:w="109"/>
        <w:gridCol w:w="109"/>
        <w:gridCol w:w="109"/>
        <w:gridCol w:w="237"/>
        <w:gridCol w:w="237"/>
        <w:gridCol w:w="336"/>
      </w:tblGrid>
      <w:tr>
        <w:trPr/>
        <w:tc>
          <w:tcPr>
            <w:tcW w:w="1462"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Holdings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center"/>
              <w:rPr/>
            </w:pPr>
            <w:r>
              <w:rPr>
                <w:rFonts w:ascii="Times New Roman;serif" w:hAnsi="Times New Roman;serif"/>
                <w:b/>
                <w:color w:val="000000"/>
                <w:sz w:val="16"/>
              </w:rPr>
              <w:t>Rating</w:t>
            </w:r>
            <w:r>
              <w:rPr>
                <w:rFonts w:ascii="Times New Roman;serif" w:hAnsi="Times New Roman;serif"/>
                <w:b/>
                <w:color w:val="000000"/>
                <w:sz w:val="10"/>
              </w:rPr>
              <w:t>(1)</w:t>
            </w:r>
          </w:p>
        </w:tc>
      </w:tr>
      <w:tr>
        <w:trPr/>
        <w:tc>
          <w:tcPr>
            <w:tcW w:w="4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Chubb Ina Holdings Inc., 1.55%, Due 3/15/2028</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6,151 </w:t>
            </w:r>
          </w:p>
        </w:tc>
        <w:tc>
          <w:tcPr>
            <w:tcW w:w="14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64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American Tower Corp, 1.0%, Due 1/15/2032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BBB+</w:t>
            </w:r>
          </w:p>
        </w:tc>
      </w:tr>
      <w:tr>
        <w:trPr/>
        <w:tc>
          <w:tcPr>
            <w:tcW w:w="404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6,642 </w:t>
            </w:r>
          </w:p>
        </w:tc>
        <w:tc>
          <w:tcPr>
            <w:tcW w:w="14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64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Ratings as assigned by S&amp;P, or equivalent</w:t>
      </w:r>
    </w:p>
    <w:p>
      <w:pPr>
        <w:pStyle w:val="TextBody"/>
        <w:bidi w:val="0"/>
        <w:spacing w:before="0" w:after="0"/>
        <w:ind w:left="0" w:right="0" w:firstLine="270"/>
        <w:jc w:val="both"/>
        <w:rPr/>
      </w:pPr>
      <w:r>
        <w:rPr/>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At March 31, 2026 and December 31, 2025, we held the following types of non-U.S. dollar denominated securities:</w:t>
      </w:r>
    </w:p>
    <w:tbl>
      <w:tblPr>
        <w:tblW w:w="10205" w:type="dxa"/>
        <w:jc w:val="center"/>
        <w:tblInd w:w="0" w:type="dxa"/>
        <w:tblLayout w:type="fixed"/>
        <w:tblCellMar>
          <w:top w:w="28" w:type="dxa"/>
          <w:left w:w="28" w:type="dxa"/>
          <w:bottom w:w="28" w:type="dxa"/>
          <w:right w:w="28" w:type="dxa"/>
        </w:tblCellMar>
      </w:tblPr>
      <w:tblGrid>
        <w:gridCol w:w="1640"/>
        <w:gridCol w:w="1440"/>
        <w:gridCol w:w="1443"/>
        <w:gridCol w:w="109"/>
        <w:gridCol w:w="109"/>
        <w:gridCol w:w="109"/>
        <w:gridCol w:w="211"/>
        <w:gridCol w:w="721"/>
        <w:gridCol w:w="109"/>
        <w:gridCol w:w="109"/>
        <w:gridCol w:w="109"/>
        <w:gridCol w:w="109"/>
        <w:gridCol w:w="307"/>
        <w:gridCol w:w="309"/>
        <w:gridCol w:w="499"/>
        <w:gridCol w:w="109"/>
        <w:gridCol w:w="109"/>
        <w:gridCol w:w="109"/>
        <w:gridCol w:w="211"/>
        <w:gridCol w:w="721"/>
        <w:gridCol w:w="109"/>
        <w:gridCol w:w="109"/>
        <w:gridCol w:w="109"/>
        <w:gridCol w:w="109"/>
        <w:gridCol w:w="307"/>
        <w:gridCol w:w="309"/>
        <w:gridCol w:w="561"/>
      </w:tblGrid>
      <w:tr>
        <w:trPr/>
        <w:tc>
          <w:tcPr>
            <w:tcW w:w="1640"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4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5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4523"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Non-USD denominated collateralized loan obligations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28,479 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49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62,624 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56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Non-USD denominated 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23"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government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62,308 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499"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29,143 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56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non-U.S. dollar denominated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At March 31, 2026 and December 31, 2025, 100.0% of non-U.S. dollar denominated securities were invested in euro denominated bonds. At March 31, 2026, the non-U.S. government issuers all have a rating of A or higher by Fitch Ratings. We do not employ any credit default protection against any of the fixed maturities held in non-U.S. dollar denominated currencies at March 31, 2026. For our non-U.S. dollar denominated corporate bonds, the following table summarizes the composition of the fair value of our fixed maturity investments at the dates indicated by ratings at March 31, 2026 and December 31, 2025, respectively:</w:t>
      </w:r>
    </w:p>
    <w:tbl>
      <w:tblPr>
        <w:tblW w:w="9944" w:type="dxa"/>
        <w:jc w:val="center"/>
        <w:tblInd w:w="0" w:type="dxa"/>
        <w:tblLayout w:type="fixed"/>
        <w:tblCellMar>
          <w:top w:w="28" w:type="dxa"/>
          <w:left w:w="28" w:type="dxa"/>
          <w:bottom w:w="28" w:type="dxa"/>
          <w:right w:w="28" w:type="dxa"/>
        </w:tblCellMar>
      </w:tblPr>
      <w:tblGrid>
        <w:gridCol w:w="1615"/>
        <w:gridCol w:w="1426"/>
        <w:gridCol w:w="1429"/>
        <w:gridCol w:w="109"/>
        <w:gridCol w:w="109"/>
        <w:gridCol w:w="109"/>
        <w:gridCol w:w="211"/>
        <w:gridCol w:w="616"/>
        <w:gridCol w:w="109"/>
        <w:gridCol w:w="109"/>
        <w:gridCol w:w="109"/>
        <w:gridCol w:w="109"/>
        <w:gridCol w:w="307"/>
        <w:gridCol w:w="309"/>
        <w:gridCol w:w="501"/>
        <w:gridCol w:w="109"/>
        <w:gridCol w:w="109"/>
        <w:gridCol w:w="109"/>
        <w:gridCol w:w="211"/>
        <w:gridCol w:w="616"/>
        <w:gridCol w:w="109"/>
        <w:gridCol w:w="109"/>
        <w:gridCol w:w="109"/>
        <w:gridCol w:w="109"/>
        <w:gridCol w:w="307"/>
        <w:gridCol w:w="309"/>
        <w:gridCol w:w="561"/>
      </w:tblGrid>
      <w:tr>
        <w:trPr/>
        <w:tc>
          <w:tcPr>
            <w:tcW w:w="1615"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Ratings</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A, A-</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6,151 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50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7,466 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56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BBB+, BBB, BBB-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non-U.S. dollar denominated corporate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6,642 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0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7,977 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6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40" w:before="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Ratings as assigned by S&amp;P, or equivalent</w:t>
      </w:r>
    </w:p>
    <w:p>
      <w:pPr>
        <w:pStyle w:val="TextBody"/>
        <w:bidi w:val="0"/>
        <w:spacing w:before="18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40" w:before="180" w:after="120"/>
        <w:jc w:val="both"/>
        <w:rPr>
          <w:rFonts w:ascii="Times New Roman;serif" w:hAnsi="Times New Roman;serif"/>
          <w:b w:val="false"/>
          <w:i/>
          <w:color w:val="000000"/>
          <w:sz w:val="20"/>
        </w:rPr>
      </w:pPr>
      <w:r>
        <w:rPr>
          <w:rFonts w:ascii="Times New Roman;serif" w:hAnsi="Times New Roman;serif"/>
          <w:b w:val="false"/>
          <w:i/>
          <w:color w:val="000000"/>
          <w:sz w:val="20"/>
        </w:rPr>
        <w:t>Other Investments, Equity Securities and Equity Method Investments</w:t>
      </w:r>
    </w:p>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alternative investments are categorized as other investments, equity securities and equity method investments as reported on our Condensed Consolidated Balance Sheets. These include private equity funds, private credit funds, investments in limited partnerships, as well as investments in direct lending entities and investments in technology-oriented insurance related businesses known as insurtechs. Private equity investments consist of direct investments in privately held entities, investments in private equity funds and private equity co-investments with sponsoring entities. Private credit investments consist of loans and other debt securities of privately held entities or investment sponsors. Our alternative investments as of March 31, 2026 and December 31, 2025 consisted of the following asset categories: </w:t>
      </w:r>
    </w:p>
    <w:tbl>
      <w:tblPr>
        <w:tblW w:w="10205" w:type="dxa"/>
        <w:jc w:val="center"/>
        <w:tblInd w:w="0" w:type="dxa"/>
        <w:tblLayout w:type="fixed"/>
        <w:tblCellMar>
          <w:top w:w="28" w:type="dxa"/>
          <w:left w:w="28" w:type="dxa"/>
          <w:bottom w:w="28" w:type="dxa"/>
          <w:right w:w="28" w:type="dxa"/>
        </w:tblCellMar>
      </w:tblPr>
      <w:tblGrid>
        <w:gridCol w:w="1538"/>
        <w:gridCol w:w="1305"/>
        <w:gridCol w:w="1307"/>
        <w:gridCol w:w="109"/>
        <w:gridCol w:w="109"/>
        <w:gridCol w:w="109"/>
        <w:gridCol w:w="223"/>
        <w:gridCol w:w="891"/>
        <w:gridCol w:w="114"/>
        <w:gridCol w:w="109"/>
        <w:gridCol w:w="109"/>
        <w:gridCol w:w="109"/>
        <w:gridCol w:w="313"/>
        <w:gridCol w:w="318"/>
        <w:gridCol w:w="483"/>
        <w:gridCol w:w="109"/>
        <w:gridCol w:w="109"/>
        <w:gridCol w:w="109"/>
        <w:gridCol w:w="223"/>
        <w:gridCol w:w="891"/>
        <w:gridCol w:w="114"/>
        <w:gridCol w:w="109"/>
        <w:gridCol w:w="109"/>
        <w:gridCol w:w="109"/>
        <w:gridCol w:w="313"/>
        <w:gridCol w:w="318"/>
        <w:gridCol w:w="546"/>
      </w:tblGrid>
      <w:tr>
        <w:trPr/>
        <w:tc>
          <w:tcPr>
            <w:tcW w:w="1538"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4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150"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4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4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Privately held common stocks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5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Privately held preferred stocks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6,910 </w:t>
            </w:r>
          </w:p>
        </w:tc>
        <w:tc>
          <w:tcPr>
            <w:tcW w:w="11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83"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6,910 </w:t>
            </w:r>
          </w:p>
        </w:tc>
        <w:tc>
          <w:tcPr>
            <w:tcW w:w="11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4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4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11,748</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w:t>
            </w:r>
            <w:r>
              <w:rPr>
                <w:color w:val="000000"/>
              </w:rPr>
              <w:t> </w:t>
            </w:r>
          </w:p>
        </w:tc>
        <w:tc>
          <w:tcPr>
            <w:tcW w:w="4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11,748</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w:t>
            </w:r>
            <w:r>
              <w:rPr>
                <w:color w:val="000000"/>
              </w:rPr>
              <w:t> </w:t>
            </w:r>
          </w:p>
        </w:tc>
        <w:tc>
          <w:tcPr>
            <w:tcW w:w="5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415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4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415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 method investments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33,543</w:t>
            </w:r>
            <w:r>
              <w:rPr>
                <w:color w:val="000000"/>
              </w:rPr>
              <w:t> </w:t>
            </w:r>
          </w:p>
        </w:tc>
        <w:tc>
          <w:tcPr>
            <w:tcW w:w="114"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w:t>
            </w:r>
            <w:r>
              <w:rPr>
                <w:color w:val="000000"/>
              </w:rPr>
              <w:t> </w:t>
            </w:r>
          </w:p>
        </w:tc>
        <w:tc>
          <w:tcPr>
            <w:tcW w:w="483"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33,532</w:t>
            </w:r>
            <w:r>
              <w:rPr>
                <w:color w:val="000000"/>
              </w:rPr>
              <w:t> </w:t>
            </w:r>
          </w:p>
        </w:tc>
        <w:tc>
          <w:tcPr>
            <w:tcW w:w="114"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w:t>
            </w:r>
            <w:r>
              <w:rPr>
                <w:color w:val="000000"/>
              </w:rPr>
              <w:t> </w:t>
            </w:r>
          </w:p>
        </w:tc>
        <w:tc>
          <w:tcPr>
            <w:tcW w:w="54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4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equity funds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32,905 </w:t>
            </w:r>
          </w:p>
        </w:tc>
        <w:tc>
          <w:tcPr>
            <w:tcW w:w="11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483"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31,732 </w:t>
            </w:r>
          </w:p>
        </w:tc>
        <w:tc>
          <w:tcPr>
            <w:tcW w:w="11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54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credit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5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Privately held equity investments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9,518 </w:t>
            </w:r>
          </w:p>
        </w:tc>
        <w:tc>
          <w:tcPr>
            <w:tcW w:w="11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83"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9,248 </w:t>
            </w:r>
          </w:p>
        </w:tc>
        <w:tc>
          <w:tcPr>
            <w:tcW w:w="11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54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 with fair value option elected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36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5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direct lending entities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52,687 </w:t>
            </w:r>
          </w:p>
        </w:tc>
        <w:tc>
          <w:tcPr>
            <w:tcW w:w="11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483"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53,275 </w:t>
            </w:r>
          </w:p>
        </w:tc>
        <w:tc>
          <w:tcPr>
            <w:tcW w:w="11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54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175,670</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79.5</w:t>
            </w:r>
            <w:r>
              <w:rPr>
                <w:color w:val="000000"/>
              </w:rPr>
              <w:t> </w:t>
            </w:r>
          </w:p>
        </w:tc>
        <w:tc>
          <w:tcPr>
            <w:tcW w:w="4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173,358</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79.3</w:t>
            </w:r>
            <w:r>
              <w:rPr>
                <w:color w:val="000000"/>
              </w:rPr>
              <w:t> </w:t>
            </w:r>
          </w:p>
        </w:tc>
        <w:tc>
          <w:tcPr>
            <w:tcW w:w="5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415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7"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ind w:left="0" w:right="0" w:hanging="360"/>
              <w:jc w:val="right"/>
              <w:rPr>
                <w:color w:val="000000"/>
              </w:rPr>
            </w:pPr>
            <w:r>
              <w:rPr>
                <w:color w:val="000000"/>
              </w:rPr>
              <w:t> </w:t>
            </w:r>
          </w:p>
        </w:tc>
      </w:tr>
      <w:tr>
        <w:trPr/>
        <w:tc>
          <w:tcPr>
            <w:tcW w:w="4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alternative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220,961</w:t>
            </w: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4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218,638</w:t>
            </w: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5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Our allocation to alternative investments increased to 55.0% of our total cash and investments held as of March 31, 2026, compared to 53.5% as of December 31, 2025, partly due to additional funding of certain investments from pre-existing commitments made prior to the Combination. In addition to the categories described above, we also evaluate our alternative investments by the following asset classes: </w:t>
      </w:r>
    </w:p>
    <w:tbl>
      <w:tblPr>
        <w:tblW w:w="8755" w:type="dxa"/>
        <w:jc w:val="center"/>
        <w:tblInd w:w="0" w:type="dxa"/>
        <w:tblLayout w:type="fixed"/>
        <w:tblCellMar>
          <w:top w:w="28" w:type="dxa"/>
          <w:left w:w="28" w:type="dxa"/>
          <w:bottom w:w="28" w:type="dxa"/>
          <w:right w:w="28" w:type="dxa"/>
        </w:tblCellMar>
      </w:tblPr>
      <w:tblGrid>
        <w:gridCol w:w="943"/>
        <w:gridCol w:w="825"/>
        <w:gridCol w:w="827"/>
        <w:gridCol w:w="109"/>
        <w:gridCol w:w="109"/>
        <w:gridCol w:w="109"/>
        <w:gridCol w:w="226"/>
        <w:gridCol w:w="902"/>
        <w:gridCol w:w="116"/>
        <w:gridCol w:w="109"/>
        <w:gridCol w:w="109"/>
        <w:gridCol w:w="109"/>
        <w:gridCol w:w="314"/>
        <w:gridCol w:w="317"/>
        <w:gridCol w:w="522"/>
        <w:gridCol w:w="109"/>
        <w:gridCol w:w="109"/>
        <w:gridCol w:w="109"/>
        <w:gridCol w:w="226"/>
        <w:gridCol w:w="902"/>
        <w:gridCol w:w="116"/>
        <w:gridCol w:w="109"/>
        <w:gridCol w:w="109"/>
        <w:gridCol w:w="109"/>
        <w:gridCol w:w="314"/>
        <w:gridCol w:w="317"/>
        <w:gridCol w:w="580"/>
      </w:tblGrid>
      <w:tr>
        <w:trPr/>
        <w:tc>
          <w:tcPr>
            <w:tcW w:w="94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595"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Credit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1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22"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1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80"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83,857 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Venture Capital</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29,346 </w:t>
            </w:r>
          </w:p>
        </w:tc>
        <w:tc>
          <w:tcPr>
            <w:tcW w:w="11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522"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27,940 </w:t>
            </w:r>
          </w:p>
        </w:tc>
        <w:tc>
          <w:tcPr>
            <w:tcW w:w="11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580"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36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alternative investments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2"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220,961</w:t>
            </w:r>
            <w:r>
              <w:rPr>
                <w:color w:val="000000"/>
              </w:rPr>
              <w:t> </w:t>
            </w:r>
          </w:p>
        </w:tc>
        <w:tc>
          <w:tcPr>
            <w:tcW w:w="116"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522"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2"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218,638</w:t>
            </w:r>
            <w:r>
              <w:rPr>
                <w:color w:val="000000"/>
              </w:rPr>
              <w:t> </w:t>
            </w:r>
          </w:p>
        </w:tc>
        <w:tc>
          <w:tcPr>
            <w:tcW w:w="116"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580"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40" w:before="0" w:after="120"/>
        <w:ind w:left="0" w:right="0" w:firstLine="270"/>
        <w:jc w:val="both"/>
        <w:rPr/>
      </w:pPr>
      <w:r>
        <w:rPr>
          <w:rFonts w:ascii="Times New Roman;serif" w:hAnsi="Times New Roman;serif"/>
          <w:b w:val="false"/>
          <w:color w:val="000000"/>
          <w:sz w:val="20"/>
        </w:rPr>
        <w:t>For further details on these alternative investments, see "</w:t>
      </w:r>
      <w:r>
        <w:rPr>
          <w:rFonts w:ascii="Times New Roman;serif" w:hAnsi="Times New Roman;serif"/>
          <w:b w:val="false"/>
          <w:i/>
          <w:color w:val="000000"/>
          <w:sz w:val="20"/>
        </w:rPr>
        <w:t>Notes to Condensed Consolidated Financial Statements: Note 4(b) Other Investments, Equity Securities and Equity Method Investments"</w:t>
      </w:r>
      <w:r>
        <w:rPr>
          <w:color w:val="000000"/>
        </w:rPr>
        <w:t xml:space="preserve"> </w:t>
      </w:r>
      <w:r>
        <w:rPr>
          <w:rFonts w:ascii="Times New Roman;serif" w:hAnsi="Times New Roman;serif"/>
          <w:b w:val="false"/>
          <w:color w:val="000000"/>
          <w:sz w:val="20"/>
        </w:rPr>
        <w:t xml:space="preserve">included under Part I Item 1. </w:t>
      </w:r>
      <w:r>
        <w:rPr>
          <w:rFonts w:ascii="Times New Roman;serif" w:hAnsi="Times New Roman;serif"/>
          <w:b w:val="false"/>
          <w:i/>
          <w:color w:val="000000"/>
          <w:sz w:val="20"/>
        </w:rPr>
        <w:t>"Financial Information"</w:t>
      </w:r>
      <w:r>
        <w:rPr>
          <w:color w:val="000000"/>
        </w:rPr>
        <w:t xml:space="preserve"> </w:t>
      </w:r>
      <w:r>
        <w:rPr>
          <w:rFonts w:ascii="Times New Roman;serif" w:hAnsi="Times New Roman;serif"/>
          <w:b w:val="false"/>
          <w:color w:val="000000"/>
          <w:sz w:val="20"/>
        </w:rPr>
        <w:t>of this Report on Form 10-Q. Within these asset classes, our portfolio broadly consists of the following types of investments:</w:t>
      </w:r>
    </w:p>
    <w:p>
      <w:pPr>
        <w:pStyle w:val="TextBody"/>
        <w:bidi w:val="0"/>
        <w:spacing w:lineRule="auto" w:line="240" w:before="0" w:after="120"/>
        <w:ind w:left="0" w:right="0" w:firstLine="270"/>
        <w:jc w:val="both"/>
        <w:rPr/>
      </w:pPr>
      <w:r>
        <w:rPr>
          <w:color w:val="000000"/>
        </w:rPr>
        <w:t>•</w:t>
      </w:r>
      <w:r>
        <w:rPr>
          <w:rFonts w:ascii="Times New Roman;serif" w:hAnsi="Times New Roman;serif"/>
          <w:b w:val="false"/>
          <w:color w:val="000000"/>
          <w:sz w:val="20"/>
          <w:u w:val="single"/>
        </w:rPr>
        <w:t>Private Equity</w:t>
      </w:r>
      <w:r>
        <w:rPr>
          <w:color w:val="000000"/>
        </w:rPr>
        <w:t xml:space="preserve"> – </w:t>
      </w:r>
      <w:r>
        <w:rPr>
          <w:rFonts w:ascii="Times New Roman;serif" w:hAnsi="Times New Roman;serif"/>
          <w:b w:val="false"/>
          <w:color w:val="000000"/>
          <w:sz w:val="20"/>
        </w:rPr>
        <w:t>this asset class consists of both fund investments with leading private equity sponsors and direct equity investments in private companies, sometimes in conjunction with our private equity fund sponsors. As of March 31, 2026, $4.3 million or 26.3% of investments in the private equity asset class consisted of investments in private equity funds and $12.0 million or 73.7% consisted of direct equity investments in private companies.</w:t>
      </w:r>
    </w:p>
    <w:p>
      <w:pPr>
        <w:pStyle w:val="TextBody"/>
        <w:bidi w:val="0"/>
        <w:spacing w:lineRule="auto" w:line="240" w:before="0" w:after="120"/>
        <w:ind w:left="0" w:right="0" w:firstLine="270"/>
        <w:jc w:val="both"/>
        <w:rPr/>
      </w:pPr>
      <w:r>
        <w:rPr>
          <w:color w:val="000000"/>
        </w:rPr>
        <w:t>•</w:t>
      </w:r>
      <w:r>
        <w:rPr>
          <w:rFonts w:ascii="Times New Roman;serif" w:hAnsi="Times New Roman;serif"/>
          <w:b w:val="false"/>
          <w:color w:val="000000"/>
          <w:sz w:val="20"/>
          <w:u w:val="single"/>
        </w:rPr>
        <w:t xml:space="preserve">Private Credit </w:t>
      </w:r>
      <w:r>
        <w:rPr>
          <w:rFonts w:ascii="Times New Roman;serif" w:hAnsi="Times New Roman;serif"/>
          <w:b w:val="false"/>
          <w:color w:val="000000"/>
          <w:sz w:val="20"/>
        </w:rPr>
        <w:t>- this asset class consists of both fund investments with leading private credit sponsors and direct credit investments in private companies, sometimes in conjunction with our private credit fund sponsors. Private credit investments in both funds and on a direct basis will typically be secured lending arrangements with non-rated entities, often with additional protective provisions to enhance the security and returns of these investments. As of March 31, 2026, private credit asset class included $0.3 million or 100.0% in direct investments in private companies.</w:t>
      </w:r>
    </w:p>
    <w:p>
      <w:pPr>
        <w:pStyle w:val="TextBody"/>
        <w:bidi w:val="0"/>
        <w:spacing w:lineRule="auto" w:line="240" w:before="0" w:after="120"/>
        <w:ind w:left="0" w:right="0" w:firstLine="270"/>
        <w:jc w:val="both"/>
        <w:rPr/>
      </w:pPr>
      <w:r>
        <w:rPr>
          <w:color w:val="000000"/>
        </w:rPr>
        <w:t>•</w:t>
      </w:r>
      <w:r>
        <w:rPr>
          <w:rFonts w:ascii="Times New Roman;serif" w:hAnsi="Times New Roman;serif"/>
          <w:b w:val="false"/>
          <w:color w:val="000000"/>
          <w:sz w:val="20"/>
          <w:u w:val="single"/>
        </w:rPr>
        <w:t xml:space="preserve">Alternatives </w:t>
      </w:r>
      <w:r>
        <w:rPr>
          <w:color w:val="000000"/>
        </w:rPr>
        <w:t xml:space="preserve">– </w:t>
      </w:r>
      <w:r>
        <w:rPr>
          <w:rFonts w:ascii="Times New Roman;serif" w:hAnsi="Times New Roman;serif"/>
          <w:b w:val="false"/>
          <w:color w:val="000000"/>
          <w:sz w:val="20"/>
        </w:rPr>
        <w:t xml:space="preserve">this asset class consists of structured financing arrangements which typically have incentive features to enhance the Company’s returns. As part of these arrangements, the Company requires collateral or bankruptcy-remote structures to protect its investments. As of March 31, 2026, $81.9 million or 97.7% of investments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40" w:before="0" w:after="120"/>
        <w:jc w:val="both"/>
        <w:rPr/>
      </w:pPr>
      <w:r>
        <w:rPr>
          <w:rFonts w:ascii="Times New Roman;serif" w:hAnsi="Times New Roman;serif"/>
          <w:b w:val="false"/>
          <w:color w:val="000000"/>
          <w:sz w:val="20"/>
        </w:rPr>
        <w:t xml:space="preserve">in the alternatives asset class were direct investments and $1.9 million or 2.3% of the alternatives asset class were invested in funds. One investment in a collateralized direct lending entity of $52.7 million represents 62.8% of this asset class and is discussed further in </w:t>
      </w:r>
      <w:r>
        <w:rPr>
          <w:rFonts w:ascii="Times New Roman;serif" w:hAnsi="Times New Roman;serif"/>
          <w:b w:val="false"/>
          <w:i/>
          <w:color w:val="000000"/>
          <w:sz w:val="20"/>
        </w:rPr>
        <w:t>"Note 4. Investments"</w:t>
      </w:r>
      <w:r>
        <w:rPr>
          <w:color w:val="000000"/>
        </w:rPr>
        <w:t xml:space="preserve"> </w:t>
      </w:r>
      <w:r>
        <w:rPr>
          <w:rFonts w:ascii="Times New Roman;serif" w:hAnsi="Times New Roman;serif"/>
          <w:b w:val="false"/>
          <w:color w:val="000000"/>
          <w:sz w:val="20"/>
        </w:rPr>
        <w:t xml:space="preserve">included in Part I Item 1. </w:t>
      </w:r>
      <w:r>
        <w:rPr>
          <w:rFonts w:ascii="Times New Roman;serif" w:hAnsi="Times New Roman;serif"/>
          <w:b w:val="false"/>
          <w:i/>
          <w:color w:val="000000"/>
          <w:sz w:val="20"/>
        </w:rPr>
        <w:t xml:space="preserve">"Financial Information" </w:t>
      </w:r>
      <w:r>
        <w:rPr>
          <w:rFonts w:ascii="Times New Roman;serif" w:hAnsi="Times New Roman;serif"/>
          <w:b w:val="false"/>
          <w:color w:val="000000"/>
          <w:sz w:val="20"/>
        </w:rPr>
        <w:t xml:space="preserve">in this Quarterly Report on Form 10-Q for the three months ended March 31, 2026. </w:t>
      </w:r>
    </w:p>
    <w:p>
      <w:pPr>
        <w:pStyle w:val="TextBody"/>
        <w:bidi w:val="0"/>
        <w:spacing w:lineRule="auto" w:line="240" w:before="0" w:after="120"/>
        <w:ind w:left="0" w:right="0" w:firstLine="270"/>
        <w:jc w:val="both"/>
        <w:rPr/>
      </w:pPr>
      <w:r>
        <w:rPr>
          <w:color w:val="000000"/>
        </w:rPr>
        <w:t>•</w:t>
      </w:r>
      <w:r>
        <w:rPr>
          <w:rFonts w:ascii="Times New Roman;serif" w:hAnsi="Times New Roman;serif"/>
          <w:b w:val="false"/>
          <w:color w:val="000000"/>
          <w:sz w:val="20"/>
          <w:u w:val="single"/>
        </w:rPr>
        <w:t xml:space="preserve">Venture Capital </w:t>
      </w:r>
      <w:r>
        <w:rPr>
          <w:color w:val="000000"/>
        </w:rPr>
        <w:t xml:space="preserve">– </w:t>
      </w:r>
      <w:r>
        <w:rPr>
          <w:rFonts w:ascii="Times New Roman;serif" w:hAnsi="Times New Roman;serif"/>
          <w:b w:val="false"/>
          <w:color w:val="000000"/>
          <w:sz w:val="20"/>
        </w:rPr>
        <w:t>this asset class consists of both fund investments with venture capital firms focused primarily on “insurtech” or “fintech” early-stage investments as well as direct investments in start-up companies in this sector, including equity investments in individual companies made in conjunction with our venture capital fund sponsors. As of March 31, 2026, $16.9 million or 57.5% of investments in the venture capital asset class consisted of investments in funds and $12.5 million or 42.5% consisted of direct equity investments in start-up companies. As of March 31, 2026, $14.3 million or 48.6% of our venture capital investments were invested in funds or companies that would be considered “insurtech” investments.</w:t>
      </w:r>
    </w:p>
    <w:p>
      <w:pPr>
        <w:pStyle w:val="TextBody"/>
        <w:bidi w:val="0"/>
        <w:spacing w:lineRule="auto" w:line="240" w:before="0" w:after="120"/>
        <w:ind w:left="0" w:right="0" w:firstLine="270"/>
        <w:jc w:val="both"/>
        <w:rPr/>
      </w:pPr>
      <w:r>
        <w:rPr>
          <w:color w:val="000000"/>
        </w:rPr>
        <w:t>•</w:t>
      </w:r>
      <w:r>
        <w:rPr>
          <w:rFonts w:ascii="Times New Roman;serif" w:hAnsi="Times New Roman;serif"/>
          <w:b w:val="false"/>
          <w:color w:val="000000"/>
          <w:sz w:val="20"/>
          <w:u w:val="single"/>
        </w:rPr>
        <w:t>Real Estate</w:t>
      </w:r>
      <w:r>
        <w:rPr>
          <w:color w:val="000000"/>
        </w:rPr>
        <w:t xml:space="preserve"> – </w:t>
      </w:r>
      <w:r>
        <w:rPr>
          <w:rFonts w:ascii="Times New Roman;serif" w:hAnsi="Times New Roman;serif"/>
          <w:b w:val="false"/>
          <w:color w:val="000000"/>
          <w:sz w:val="20"/>
        </w:rPr>
        <w:t xml:space="preserve">this asset class consists of long-term equity investments in three real estate projects. Two are multi-family residential development projects near major urban centers where workforce housing demand continues to be strong. One investment is a minority stake as a limited partner with a leading property developer with a highly successful track record, where the Company will earn returns from both operating income from rentals and future sales of properties. As of March 31, 2026, the fair value of this project is $51.0 million and the Company expects investment returns to commence in earnest in 2026 and beyond. The first properties developed with this project have been recently completed with occupancies now underway. The second multi-family residential investment is a majority stake with general partner rights wherein the Company is providing the capital backing to an experienced and successful developer in the subject market, while also taking minority equity stakes in individual projects. To date, this development project has secured five properties in attractive locations and is currently in the zoning and planning stages. As of March 31, 2026, the Company has $33.5 million invested in this project and has commenced earning limited amounts of fee income from this project. As part of its investment, the Company has also provided certain loan guarantees which are discussed in more detail in </w:t>
      </w:r>
      <w:r>
        <w:rPr>
          <w:rFonts w:ascii="Times New Roman;serif" w:hAnsi="Times New Roman;serif"/>
          <w:b w:val="false"/>
          <w:i/>
          <w:color w:val="000000"/>
          <w:sz w:val="20"/>
        </w:rPr>
        <w:t xml:space="preserve">Note 11. Commitments, Contingencies and Guarantees </w:t>
      </w:r>
      <w:r>
        <w:rPr>
          <w:rFonts w:ascii="Times New Roman;serif" w:hAnsi="Times New Roman;serif"/>
          <w:b w:val="false"/>
          <w:color w:val="000000"/>
          <w:sz w:val="20"/>
        </w:rPr>
        <w:t xml:space="preserve">included in Part I Item 1. </w:t>
      </w:r>
      <w:r>
        <w:rPr>
          <w:rFonts w:ascii="Times New Roman;serif" w:hAnsi="Times New Roman;serif"/>
          <w:b w:val="false"/>
          <w:i/>
          <w:color w:val="000000"/>
          <w:sz w:val="20"/>
        </w:rPr>
        <w:t>"Financial Information"</w:t>
      </w:r>
      <w:r>
        <w:rPr>
          <w:rFonts w:ascii="Times New Roman;serif" w:hAnsi="Times New Roman;serif"/>
          <w:b w:val="false"/>
          <w:color w:val="000000"/>
          <w:sz w:val="20"/>
        </w:rPr>
        <w:t>. We expect fee and operating income and gains from future sales of properties to commence in earnest in 2027 and beyond. Finally, the Company has a minority equity stake in an iconic office building in a major city in the U.S., with an attractive and growing tenant roll. As of March 31, 2026, the Company has $6.7 million invested in this project and to date has earned preferred returns and received certain distributions. In addition to preferred returns, the Company expects to receive future distributions of operating income from this investment.</w:t>
      </w:r>
    </w:p>
    <w:p>
      <w:pPr>
        <w:pStyle w:val="TextBody"/>
        <w:bidi w:val="0"/>
        <w:spacing w:lineRule="auto" w:line="240" w:before="0" w:after="120"/>
        <w:ind w:left="0" w:right="0" w:firstLine="270"/>
        <w:jc w:val="both"/>
        <w:rPr/>
      </w:pPr>
      <w:r>
        <w:rPr>
          <w:rFonts w:ascii="Times New Roman;serif" w:hAnsi="Times New Roman;serif"/>
          <w:b w:val="false"/>
          <w:color w:val="000000"/>
          <w:sz w:val="20"/>
        </w:rPr>
        <w:t>As noted, c</w:t>
      </w:r>
      <w:r>
        <w:rPr>
          <w:rFonts w:ascii="Times New Roman;serif" w:hAnsi="Times New Roman;serif"/>
          <w:b w:val="false"/>
          <w:color w:val="000000"/>
          <w:sz w:val="20"/>
          <w:shd w:fill="FFFFFF" w:val="clear"/>
        </w:rPr>
        <w:t xml:space="preserve">ertain of the Company's investments in limited partnerships are related to real estate joint ventures with interests in multi-property projects with varying strategies ranging from the development of properties to the ownership of income-producing properties. In certain of these joint ventures, the Company has provided certain indemnities, guarantees and commitments to certain parties such that it may be required to make payments now or in the future. </w:t>
      </w:r>
      <w:r>
        <w:rPr>
          <w:rFonts w:ascii="Times New Roman;serif" w:hAnsi="Times New Roman;serif"/>
          <w:b w:val="false"/>
          <w:color w:val="000000"/>
          <w:sz w:val="20"/>
        </w:rPr>
        <w:t>For further details on these financial guarantees, please see "</w:t>
      </w:r>
      <w:r>
        <w:rPr>
          <w:rFonts w:ascii="Times New Roman;serif" w:hAnsi="Times New Roman;serif"/>
          <w:b w:val="false"/>
          <w:i/>
          <w:color w:val="000000"/>
          <w:sz w:val="20"/>
        </w:rPr>
        <w:t>Notes to Condensed Consolidated Financial Statements: Note 11 - Commitments, Contingencies and Guarantees"</w:t>
      </w:r>
      <w:r>
        <w:rPr>
          <w:color w:val="000000"/>
        </w:rPr>
        <w:t xml:space="preserve"> </w:t>
      </w:r>
      <w:r>
        <w:rPr>
          <w:rFonts w:ascii="Times New Roman;serif" w:hAnsi="Times New Roman;serif"/>
          <w:b w:val="false"/>
          <w:color w:val="000000"/>
          <w:sz w:val="20"/>
        </w:rPr>
        <w:t xml:space="preserve">included under Part I Item 1. </w:t>
      </w:r>
      <w:r>
        <w:rPr>
          <w:rFonts w:ascii="Times New Roman;serif" w:hAnsi="Times New Roman;serif"/>
          <w:b w:val="false"/>
          <w:i/>
          <w:color w:val="000000"/>
          <w:sz w:val="20"/>
        </w:rPr>
        <w:t>"Financial Information"</w:t>
      </w:r>
      <w:r>
        <w:rPr>
          <w:color w:val="000000"/>
        </w:rPr>
        <w:t xml:space="preserve"> </w:t>
      </w:r>
      <w:r>
        <w:rPr>
          <w:rFonts w:ascii="Times New Roman;serif" w:hAnsi="Times New Roman;serif"/>
          <w:b w:val="false"/>
          <w:color w:val="000000"/>
          <w:sz w:val="20"/>
        </w:rPr>
        <w:t>of this Report on Form 10-Q.</w:t>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40" w:before="0" w:after="120"/>
        <w:jc w:val="left"/>
        <w:rPr>
          <w:rFonts w:ascii="Times New Roman;serif" w:hAnsi="Times New Roman;serif"/>
          <w:b w:val="false"/>
          <w:i/>
          <w:color w:val="000000"/>
          <w:sz w:val="20"/>
        </w:rPr>
      </w:pPr>
      <w:r>
        <w:rPr>
          <w:rFonts w:ascii="Times New Roman;serif" w:hAnsi="Times New Roman;serif"/>
          <w:b w:val="false"/>
          <w:i/>
          <w:color w:val="000000"/>
          <w:sz w:val="20"/>
        </w:rPr>
        <w:t>Investment Results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investment portfolio returns included in earnings increased to $3.9 million for the three months ended March 31, 2026 compared to $34.0 thousand for the same period in 2025. This was largely due to the acquisition of Maiden's AFS fixed income and alternative investment portfolios in connection with the Combination on May 27, 2025. The Company earned unrealized gains on the alternative investment portfolio, as well as interest income on the net loan receivable from related party and coupon income on the AFS fixed maturity investment portfolio.</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investment results for the three months ended March 31, 2026 and 2025: </w:t>
      </w:r>
    </w:p>
    <w:tbl>
      <w:tblPr>
        <w:tblW w:w="8215" w:type="dxa"/>
        <w:jc w:val="left"/>
        <w:tblInd w:w="0" w:type="dxa"/>
        <w:tblLayout w:type="fixed"/>
        <w:tblCellMar>
          <w:top w:w="28" w:type="dxa"/>
          <w:left w:w="28" w:type="dxa"/>
          <w:bottom w:w="28" w:type="dxa"/>
          <w:right w:w="28" w:type="dxa"/>
        </w:tblCellMar>
      </w:tblPr>
      <w:tblGrid>
        <w:gridCol w:w="1606"/>
        <w:gridCol w:w="1408"/>
        <w:gridCol w:w="1411"/>
        <w:gridCol w:w="109"/>
        <w:gridCol w:w="109"/>
        <w:gridCol w:w="109"/>
        <w:gridCol w:w="265"/>
        <w:gridCol w:w="775"/>
        <w:gridCol w:w="378"/>
        <w:gridCol w:w="137"/>
        <w:gridCol w:w="137"/>
        <w:gridCol w:w="137"/>
        <w:gridCol w:w="265"/>
        <w:gridCol w:w="510"/>
        <w:gridCol w:w="378"/>
        <w:gridCol w:w="109"/>
        <w:gridCol w:w="109"/>
        <w:gridCol w:w="109"/>
        <w:gridCol w:w="154"/>
      </w:tblGrid>
      <w:tr>
        <w:trPr/>
        <w:tc>
          <w:tcPr>
            <w:tcW w:w="1606"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442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investment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val="false"/>
                <w:color w:val="000000"/>
                <w:sz w:val="20"/>
              </w:rPr>
              <w:t>Fixed income investments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442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restricted cash</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37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7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val="false"/>
                <w:color w:val="000000"/>
                <w:sz w:val="20"/>
              </w:rPr>
              <w:t>Other investments, including equities</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442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7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Net realized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Fixed income assets</w:t>
            </w:r>
            <w:r>
              <w:rPr>
                <w:rFonts w:ascii="Times New Roman;serif" w:hAnsi="Times New Roman;serif"/>
                <w:b w:val="false"/>
                <w:color w:val="000000"/>
                <w:sz w:val="13"/>
              </w:rPr>
              <w:t>(1)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7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net realized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Net unrealized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442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37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net unrealized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Interest in loss of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 loss of equity method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7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Interest in loss of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investment return included in earnings</w:t>
            </w:r>
            <w:r>
              <w:rPr>
                <w:color w:val="000000"/>
              </w:rPr>
              <w:t xml:space="preserve"> </w:t>
            </w:r>
            <w:r>
              <w:rPr>
                <w:rFonts w:ascii="Times New Roman;serif" w:hAnsi="Times New Roman;serif"/>
                <w:b/>
                <w:color w:val="000000"/>
                <w:sz w:val="16"/>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3,915 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Unrealized losses on AFS fixed maturity securities </w:t>
            </w:r>
            <w:r>
              <w:rPr>
                <w:rFonts w:ascii="Times New Roman;serif" w:hAnsi="Times New Roman;serif"/>
                <w:b/>
                <w:color w:val="000000"/>
                <w:sz w:val="16"/>
              </w:rPr>
              <w:t>(B)</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w:t>
            </w:r>
          </w:p>
        </w:tc>
        <w:tc>
          <w:tcPr>
            <w:tcW w:w="41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investment return = (A) +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Annualized income from fixed income assets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9,872</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aggregate fixed income assets, at cost</w:t>
            </w:r>
            <w:r>
              <w:rPr>
                <w:rFonts w:ascii="Times New Roman;serif" w:hAnsi="Times New Roman;serif"/>
                <w:b w:val="false"/>
                <w:color w:val="000000"/>
                <w:sz w:val="13"/>
              </w:rPr>
              <w:t>(2)</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276,690</w:t>
            </w:r>
          </w:p>
        </w:tc>
        <w:tc>
          <w:tcPr>
            <w:tcW w:w="41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3,848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Annualized investment book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w:t>
            </w:r>
            <w:r>
              <w:rPr>
                <w:color w:val="000000"/>
              </w:rPr>
              <w:t>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w:t>
            </w:r>
            <w:r>
              <w:rPr>
                <w:color w:val="000000"/>
              </w:rPr>
              <w:t>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aggregate invested assets, at fair value</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496,870</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Investment return included in net earnings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0.8</w:t>
            </w:r>
            <w:r>
              <w:rPr>
                <w:color w:val="000000"/>
              </w:rPr>
              <w:t> </w:t>
            </w:r>
          </w:p>
        </w:tc>
        <w:tc>
          <w:tcPr>
            <w:tcW w:w="378"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1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w:t>
            </w:r>
            <w:r>
              <w:rPr>
                <w:color w:val="000000"/>
              </w:rPr>
              <w:t> </w:t>
            </w:r>
          </w:p>
        </w:tc>
        <w:tc>
          <w:tcPr>
            <w:tcW w:w="378"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investment return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w:t>
            </w:r>
            <w:r>
              <w:rPr>
                <w:color w:val="000000"/>
              </w:rPr>
              <w:t>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w:t>
            </w:r>
            <w:r>
              <w:rPr>
                <w:color w:val="000000"/>
              </w:rPr>
              <w:t>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6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1.Fixed income investments include AFS fixed maturity securities as well as funds withheld receivable, and net loan receivable from related party.</w:t>
      </w:r>
    </w:p>
    <w:p>
      <w:pPr>
        <w:pStyle w:val="TextBody"/>
        <w:bidi w:val="0"/>
        <w:spacing w:lineRule="auto" w:line="240" w:before="0" w:after="6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2.Average aggregate fixed income assets include AFS portfolio, cash and restricted cash, funds withheld receivable, and net loan receivable from related party and is computed as an average of the amounts disclosed in our quarterly U.S. GAAP consolidated financial statements.</w:t>
      </w:r>
    </w:p>
    <w:p>
      <w:pPr>
        <w:pStyle w:val="TextBody"/>
        <w:bidi w:val="0"/>
        <w:spacing w:lineRule="auto" w:line="240" w:before="0" w:after="6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3.Average aggregate invested assets include all investments (AFS and alternative investments), cash and restricted cash, loan to related party and funds withheld receivable and is computed as an average of the amounts disclosed in our quarterly U.S. GAAP consolidated financial statements.</w:t>
      </w:r>
    </w:p>
    <w:p>
      <w:pPr>
        <w:pStyle w:val="TextBody"/>
        <w:bidi w:val="0"/>
        <w:spacing w:before="120" w:after="120"/>
        <w:ind w:left="0" w:right="0" w:firstLine="270"/>
        <w:jc w:val="both"/>
        <w:rPr/>
      </w:pPr>
      <w:r>
        <w:rPr/>
      </w:r>
    </w:p>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40"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total investment returns for our fixed income investments for the three months ended March 31, 2026 and 2025:</w:t>
      </w:r>
    </w:p>
    <w:tbl>
      <w:tblPr>
        <w:tblW w:w="7089" w:type="dxa"/>
        <w:jc w:val="left"/>
        <w:tblInd w:w="0" w:type="dxa"/>
        <w:tblLayout w:type="fixed"/>
        <w:tblCellMar>
          <w:top w:w="28" w:type="dxa"/>
          <w:left w:w="28" w:type="dxa"/>
          <w:bottom w:w="28" w:type="dxa"/>
          <w:right w:w="28" w:type="dxa"/>
        </w:tblCellMar>
      </w:tblPr>
      <w:tblGrid>
        <w:gridCol w:w="1194"/>
        <w:gridCol w:w="1051"/>
        <w:gridCol w:w="1054"/>
        <w:gridCol w:w="109"/>
        <w:gridCol w:w="109"/>
        <w:gridCol w:w="109"/>
        <w:gridCol w:w="265"/>
        <w:gridCol w:w="775"/>
        <w:gridCol w:w="378"/>
        <w:gridCol w:w="137"/>
        <w:gridCol w:w="137"/>
        <w:gridCol w:w="137"/>
        <w:gridCol w:w="265"/>
        <w:gridCol w:w="510"/>
        <w:gridCol w:w="378"/>
        <w:gridCol w:w="109"/>
        <w:gridCol w:w="109"/>
        <w:gridCol w:w="109"/>
        <w:gridCol w:w="154"/>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Fixed Income Investments</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investment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2,468 </w:t>
            </w:r>
          </w:p>
        </w:tc>
        <w:tc>
          <w:tcPr>
            <w:tcW w:w="37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7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realized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Change in AOCI</w:t>
            </w:r>
            <w:r>
              <w:rPr>
                <w:color w:val="000000"/>
              </w:rPr>
              <w:t xml:space="preserve"> </w:t>
            </w:r>
            <w:r>
              <w:rPr>
                <w:rFonts w:ascii="Times New Roman;serif" w:hAnsi="Times New Roman;serif"/>
                <w:b w:val="false"/>
                <w:color w:val="000000"/>
                <w:sz w:val="13"/>
              </w:rPr>
              <w:t>(3)</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w:t>
            </w:r>
          </w:p>
        </w:tc>
        <w:tc>
          <w:tcPr>
            <w:tcW w:w="37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investment returns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29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Average invested assets, at fair value </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277,071</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Investment Returns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w:t>
            </w:r>
            <w:r>
              <w:rPr>
                <w:color w:val="000000"/>
              </w:rPr>
              <w:t>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w:t>
            </w:r>
            <w:r>
              <w:rPr>
                <w:color w:val="000000"/>
              </w:rPr>
              <w:t>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Investment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investment returns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37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7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Investment Returns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w:t>
            </w:r>
            <w:r>
              <w:rPr>
                <w:color w:val="000000"/>
              </w:rPr>
              <w:t> </w:t>
            </w:r>
          </w:p>
        </w:tc>
        <w:tc>
          <w:tcPr>
            <w:tcW w:w="378"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1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w:t>
            </w:r>
            <w:r>
              <w:rPr>
                <w:color w:val="000000"/>
              </w:rPr>
              <w:t> </w:t>
            </w:r>
          </w:p>
        </w:tc>
        <w:tc>
          <w:tcPr>
            <w:tcW w:w="378"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00" w:after="120"/>
        <w:ind w:left="0" w:right="0" w:firstLine="270"/>
        <w:jc w:val="both"/>
        <w:rPr/>
      </w:pPr>
      <w:r>
        <w:rPr>
          <w:rFonts w:ascii="Times New Roman;serif" w:hAnsi="Times New Roman;serif"/>
          <w:b w:val="false"/>
          <w:color w:val="000000"/>
          <w:sz w:val="20"/>
        </w:rPr>
        <w:t>Our net investment returns slightly decreased to 0.7% for the three months ended March 31, 2026, compared to 0.9% for the same period in 2025. Our portfolio includes floating rate investments that comprised 40.2% of our fixed income investments at March 31, 2026. The net loan receivable from related party had an average balance of $82.7 million</w:t>
      </w:r>
      <w:r>
        <w:rPr>
          <w:color w:val="000000"/>
          <w:shd w:fill="FFFFFF" w:val="clear"/>
        </w:rPr>
        <w:t xml:space="preserve"> </w:t>
      </w:r>
      <w:r>
        <w:rPr>
          <w:rFonts w:ascii="Times New Roman;serif" w:hAnsi="Times New Roman;serif"/>
          <w:b w:val="false"/>
          <w:color w:val="000000"/>
          <w:sz w:val="20"/>
          <w:shd w:fill="FFFFFF" w:val="clear"/>
        </w:rPr>
        <w:t>at March 31, 2026</w:t>
      </w:r>
      <w:r>
        <w:rPr>
          <w:color w:val="000000"/>
        </w:rPr>
        <w:t xml:space="preserve"> </w:t>
      </w:r>
      <w:r>
        <w:rPr>
          <w:rFonts w:ascii="Times New Roman;serif" w:hAnsi="Times New Roman;serif"/>
          <w:b w:val="false"/>
          <w:color w:val="000000"/>
          <w:sz w:val="20"/>
        </w:rPr>
        <w:t>with an average yield of 5.5% for the three months ended March 31, 2026.</w:t>
      </w:r>
    </w:p>
    <w:p>
      <w:pPr>
        <w:pStyle w:val="TextBody"/>
        <w:bidi w:val="0"/>
        <w:spacing w:lineRule="auto" w:line="240" w:before="100" w:after="120"/>
        <w:ind w:left="0" w:right="0" w:firstLine="270"/>
        <w:jc w:val="both"/>
        <w:rPr/>
      </w:pPr>
      <w:r>
        <w:rPr>
          <w:rFonts w:ascii="Times New Roman;serif" w:hAnsi="Times New Roman;serif"/>
          <w:b w:val="false"/>
          <w:color w:val="000000"/>
          <w:sz w:val="20"/>
        </w:rPr>
        <w:t>Please refer to "</w:t>
      </w:r>
      <w:r>
        <w:rPr>
          <w:rFonts w:ascii="Times New Roman;serif" w:hAnsi="Times New Roman;serif"/>
          <w:b w:val="false"/>
          <w:i/>
          <w:color w:val="000000"/>
          <w:sz w:val="20"/>
        </w:rPr>
        <w:t>Notes to Condensed Consolidated Financial Statements - Note 4. Investments</w:t>
      </w:r>
      <w:r>
        <w:rPr>
          <w:rFonts w:ascii="Times New Roman;serif" w:hAnsi="Times New Roman;serif"/>
          <w:b w:val="false"/>
          <w:color w:val="000000"/>
          <w:sz w:val="20"/>
        </w:rPr>
        <w:t>" included under Part I, Item 1 "</w:t>
      </w:r>
      <w:r>
        <w:rPr>
          <w:rFonts w:ascii="Times New Roman;serif" w:hAnsi="Times New Roman;serif"/>
          <w:b w:val="false"/>
          <w:i/>
          <w:color w:val="000000"/>
          <w:sz w:val="20"/>
        </w:rPr>
        <w:t xml:space="preserve">Financial Information" </w:t>
      </w:r>
      <w:r>
        <w:rPr>
          <w:rFonts w:ascii="Times New Roman;serif" w:hAnsi="Times New Roman;serif"/>
          <w:b w:val="false"/>
          <w:color w:val="000000"/>
          <w:sz w:val="20"/>
        </w:rPr>
        <w:t xml:space="preserve">of this Quarterly Report on Form 10-Q for further detail on investment returns from fixed income investments held by the Company at March 31, 2026 and 2025. </w:t>
      </w:r>
    </w:p>
    <w:p>
      <w:pPr>
        <w:pStyle w:val="TextBody"/>
        <w:bidi w:val="0"/>
        <w:spacing w:lineRule="auto" w:line="240" w:before="10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total investment returns for our alternative investments for the three months ended March 31, 2026:</w:t>
      </w:r>
    </w:p>
    <w:tbl>
      <w:tblPr>
        <w:tblW w:w="7310" w:type="dxa"/>
        <w:jc w:val="left"/>
        <w:tblInd w:w="0" w:type="dxa"/>
        <w:tblLayout w:type="fixed"/>
        <w:tblCellMar>
          <w:top w:w="28" w:type="dxa"/>
          <w:left w:w="28" w:type="dxa"/>
          <w:bottom w:w="28" w:type="dxa"/>
          <w:right w:w="28" w:type="dxa"/>
        </w:tblCellMar>
      </w:tblPr>
      <w:tblGrid>
        <w:gridCol w:w="1195"/>
        <w:gridCol w:w="1051"/>
        <w:gridCol w:w="1054"/>
        <w:gridCol w:w="109"/>
        <w:gridCol w:w="109"/>
        <w:gridCol w:w="109"/>
        <w:gridCol w:w="558"/>
        <w:gridCol w:w="1630"/>
        <w:gridCol w:w="796"/>
        <w:gridCol w:w="109"/>
        <w:gridCol w:w="109"/>
        <w:gridCol w:w="109"/>
        <w:gridCol w:w="109"/>
        <w:gridCol w:w="109"/>
        <w:gridCol w:w="154"/>
      </w:tblGrid>
      <w:tr>
        <w:trPr/>
        <w:tc>
          <w:tcPr>
            <w:tcW w:w="119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Alternative Investments</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investment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79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unrealized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investment returns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1,447 </w:t>
            </w:r>
          </w:p>
        </w:tc>
        <w:tc>
          <w:tcPr>
            <w:tcW w:w="79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Average invested assets, at fair value </w:t>
            </w:r>
            <w:r>
              <w:rPr>
                <w:rFonts w:ascii="Times New Roman;serif" w:hAnsi="Times New Roman;serif"/>
                <w:b w:val="false"/>
                <w:color w:val="000000"/>
                <w:sz w:val="13"/>
              </w:rPr>
              <w:t>(4)</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2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Investment Returns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w:t>
            </w:r>
            <w:r>
              <w:rPr>
                <w:color w:val="000000"/>
              </w:rPr>
              <w:t> </w:t>
            </w:r>
          </w:p>
        </w:tc>
        <w:tc>
          <w:tcPr>
            <w:tcW w:w="79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Investment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0"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79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returns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Investment Returns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w:t>
            </w:r>
            <w:r>
              <w:rPr>
                <w:color w:val="000000"/>
              </w:rPr>
              <w:t> </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00" w:after="60"/>
        <w:ind w:left="0" w:right="0" w:hanging="180"/>
        <w:jc w:val="both"/>
        <w:rPr/>
      </w:pPr>
      <w:r>
        <w:rPr>
          <w:rFonts w:ascii="Times New Roman;serif" w:hAnsi="Times New Roman;serif"/>
          <w:b/>
          <w:i/>
          <w:color w:val="000000"/>
          <w:sz w:val="16"/>
        </w:rPr>
        <w:t>1.</w:t>
      </w:r>
      <w:r>
        <w:rPr>
          <w:rFonts w:ascii="Times New Roman;serif" w:hAnsi="Times New Roman;serif"/>
          <w:b w:val="false"/>
          <w:color w:val="000000"/>
          <w:sz w:val="16"/>
        </w:rPr>
        <w:t xml:space="preserve">Fixed income investments includes AFS securities as well as cash, restricted cash, funds withheld receivable, and net loan receivable from related party. </w:t>
      </w:r>
    </w:p>
    <w:p>
      <w:pPr>
        <w:pStyle w:val="TextBody"/>
        <w:bidi w:val="0"/>
        <w:spacing w:lineRule="auto" w:line="240" w:before="0" w:after="6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2.Alternative investments includes other investments, equity securities, and equity method investments.</w:t>
      </w:r>
    </w:p>
    <w:p>
      <w:pPr>
        <w:pStyle w:val="TextBody"/>
        <w:bidi w:val="0"/>
        <w:spacing w:lineRule="auto" w:line="240" w:before="0" w:after="6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3.Change in accumulated other comprehensive income ("AOCI") excludes unrealized foreign exchange gains and losses.</w:t>
      </w:r>
    </w:p>
    <w:p>
      <w:pPr>
        <w:pStyle w:val="TextBody"/>
        <w:bidi w:val="0"/>
        <w:spacing w:lineRule="auto" w:line="240" w:before="0" w:after="6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4.Average invested assets is the average of the amounts disclosed in our quarterly U.S. GAAP consolidated financial statements.</w:t>
      </w:r>
    </w:p>
    <w:p>
      <w:pPr>
        <w:pStyle w:val="TextBody"/>
        <w:bidi w:val="0"/>
        <w:spacing w:before="180" w:after="120"/>
        <w:ind w:left="0" w:right="0" w:firstLine="270"/>
        <w:jc w:val="both"/>
        <w:rPr/>
      </w:pPr>
      <w:r>
        <w:rPr/>
      </w:r>
    </w:p>
    <w:p>
      <w:pPr>
        <w:pStyle w:val="TextBody"/>
        <w:bidi w:val="0"/>
        <w:spacing w:before="120" w:after="120"/>
        <w:ind w:left="0" w:right="0" w:firstLine="270"/>
        <w:jc w:val="both"/>
        <w:rPr/>
      </w:pPr>
      <w:r>
        <w:rPr/>
      </w:r>
    </w:p>
    <w:p>
      <w:pPr>
        <w:pStyle w:val="TextBody"/>
        <w:bidi w:val="0"/>
        <w:spacing w:before="60" w:after="283"/>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40" w:before="6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total investment returns for alternative investments by asset class for the three months ended March 31, 2026:</w:t>
      </w:r>
    </w:p>
    <w:tbl>
      <w:tblPr>
        <w:tblW w:w="10205" w:type="dxa"/>
        <w:jc w:val="center"/>
        <w:tblInd w:w="0" w:type="dxa"/>
        <w:tblLayout w:type="fixed"/>
        <w:tblCellMar>
          <w:top w:w="28" w:type="dxa"/>
          <w:left w:w="28" w:type="dxa"/>
          <w:bottom w:w="28" w:type="dxa"/>
          <w:right w:w="28" w:type="dxa"/>
        </w:tblCellMar>
      </w:tblPr>
      <w:tblGrid>
        <w:gridCol w:w="751"/>
        <w:gridCol w:w="567"/>
        <w:gridCol w:w="481"/>
        <w:gridCol w:w="109"/>
        <w:gridCol w:w="109"/>
        <w:gridCol w:w="109"/>
        <w:gridCol w:w="344"/>
        <w:gridCol w:w="184"/>
        <w:gridCol w:w="424"/>
        <w:gridCol w:w="109"/>
        <w:gridCol w:w="109"/>
        <w:gridCol w:w="109"/>
        <w:gridCol w:w="402"/>
        <w:gridCol w:w="157"/>
        <w:gridCol w:w="418"/>
        <w:gridCol w:w="109"/>
        <w:gridCol w:w="109"/>
        <w:gridCol w:w="109"/>
        <w:gridCol w:w="109"/>
        <w:gridCol w:w="109"/>
        <w:gridCol w:w="398"/>
        <w:gridCol w:w="230"/>
        <w:gridCol w:w="571"/>
        <w:gridCol w:w="109"/>
        <w:gridCol w:w="109"/>
        <w:gridCol w:w="109"/>
        <w:gridCol w:w="332"/>
        <w:gridCol w:w="236"/>
        <w:gridCol w:w="525"/>
        <w:gridCol w:w="109"/>
        <w:gridCol w:w="109"/>
        <w:gridCol w:w="109"/>
        <w:gridCol w:w="269"/>
        <w:gridCol w:w="192"/>
        <w:gridCol w:w="484"/>
        <w:gridCol w:w="109"/>
        <w:gridCol w:w="109"/>
        <w:gridCol w:w="109"/>
        <w:gridCol w:w="218"/>
        <w:gridCol w:w="203"/>
        <w:gridCol w:w="639"/>
      </w:tblGrid>
      <w:tr>
        <w:trPr/>
        <w:tc>
          <w:tcPr>
            <w:tcW w:w="75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Private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Private Credit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Alternative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Venture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ind w:left="0" w:right="0" w:hanging="135"/>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2" w:type="dxa"/>
            <w:gridSpan w:val="2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1387" w:type="dxa"/>
            <w:gridSpan w:val="6"/>
            <w:tcBorders/>
          </w:tcPr>
          <w:p>
            <w:pPr>
              <w:pStyle w:val="TableContents"/>
              <w:bidi w:val="0"/>
              <w:spacing w:before="0" w:after="283"/>
              <w:jc w:val="left"/>
              <w:rPr>
                <w:sz w:val="4"/>
                <w:szCs w:val="4"/>
              </w:rPr>
            </w:pPr>
            <w:r>
              <w:rPr>
                <w:sz w:val="4"/>
                <w:szCs w:val="4"/>
              </w:rPr>
            </w:r>
          </w:p>
        </w:tc>
      </w:tr>
      <w:tr>
        <w:trPr/>
        <w:tc>
          <w:tcPr>
            <w:tcW w:w="179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investment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w:t>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Investment Return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Average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$16,368</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83,451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28,643</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91,089</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219,800</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Investment Returns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w:t>
            </w:r>
          </w:p>
        </w:tc>
        <w:tc>
          <w:tcPr>
            <w:tcW w:w="424"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46.8</w:t>
            </w:r>
            <w:r>
              <w:rPr>
                <w:color w:val="000000"/>
              </w:rPr>
              <w:t> </w:t>
            </w:r>
          </w:p>
        </w:tc>
        <w:tc>
          <w:tcPr>
            <w:tcW w:w="418"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57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525"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w:t>
            </w:r>
            <w:r>
              <w:rPr>
                <w:color w:val="000000"/>
              </w:rPr>
              <w:t> </w:t>
            </w:r>
          </w:p>
        </w:tc>
        <w:tc>
          <w:tcPr>
            <w:tcW w:w="484"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w:t>
            </w:r>
            <w:r>
              <w:rPr>
                <w:color w:val="000000"/>
              </w:rPr>
              <w:t> </w:t>
            </w:r>
          </w:p>
        </w:tc>
        <w:tc>
          <w:tcPr>
            <w:tcW w:w="639"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80" w:after="120"/>
        <w:jc w:val="both"/>
        <w:rPr>
          <w:rFonts w:ascii="Times New Roman;serif" w:hAnsi="Times New Roman;serif"/>
          <w:b/>
          <w:i/>
          <w:color w:val="000000"/>
          <w:sz w:val="20"/>
        </w:rPr>
      </w:pPr>
      <w:r>
        <w:rPr>
          <w:rFonts w:ascii="Times New Roman;serif" w:hAnsi="Times New Roman;serif"/>
          <w:b/>
          <w:i/>
          <w:color w:val="000000"/>
          <w:sz w:val="20"/>
        </w:rPr>
        <w:t xml:space="preserve">Other Balance Sheet Changes </w:t>
      </w:r>
    </w:p>
    <w:p>
      <w:pPr>
        <w:pStyle w:val="TextBody"/>
        <w:bidi w:val="0"/>
        <w:spacing w:lineRule="auto" w:line="240" w:before="6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other material balance sheet changes at March 31, 2026 compared to December 31, 2025:</w:t>
      </w:r>
    </w:p>
    <w:tbl>
      <w:tblPr>
        <w:tblW w:w="9818" w:type="dxa"/>
        <w:jc w:val="center"/>
        <w:tblInd w:w="0" w:type="dxa"/>
        <w:tblLayout w:type="fixed"/>
        <w:tblCellMar>
          <w:top w:w="28" w:type="dxa"/>
          <w:left w:w="28" w:type="dxa"/>
          <w:bottom w:w="28" w:type="dxa"/>
          <w:right w:w="28" w:type="dxa"/>
        </w:tblCellMar>
      </w:tblPr>
      <w:tblGrid>
        <w:gridCol w:w="1272"/>
        <w:gridCol w:w="1117"/>
        <w:gridCol w:w="1120"/>
        <w:gridCol w:w="109"/>
        <w:gridCol w:w="109"/>
        <w:gridCol w:w="109"/>
        <w:gridCol w:w="232"/>
        <w:gridCol w:w="908"/>
        <w:gridCol w:w="119"/>
        <w:gridCol w:w="109"/>
        <w:gridCol w:w="109"/>
        <w:gridCol w:w="109"/>
        <w:gridCol w:w="276"/>
        <w:gridCol w:w="1081"/>
        <w:gridCol w:w="142"/>
        <w:gridCol w:w="109"/>
        <w:gridCol w:w="109"/>
        <w:gridCol w:w="109"/>
        <w:gridCol w:w="211"/>
        <w:gridCol w:w="796"/>
        <w:gridCol w:w="109"/>
        <w:gridCol w:w="109"/>
        <w:gridCol w:w="109"/>
        <w:gridCol w:w="109"/>
        <w:gridCol w:w="291"/>
        <w:gridCol w:w="294"/>
        <w:gridCol w:w="542"/>
      </w:tblGrid>
      <w:tr>
        <w:trPr/>
        <w:tc>
          <w:tcPr>
            <w:tcW w:w="127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Reinsurance recoverable on unpaid losses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436,381 </w:t>
            </w:r>
          </w:p>
        </w:tc>
        <w:tc>
          <w:tcPr>
            <w:tcW w:w="11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461,197 </w:t>
            </w:r>
          </w:p>
        </w:tc>
        <w:tc>
          <w:tcPr>
            <w:tcW w:w="14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(24,816)</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54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loan receivable from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86,883 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Funds withheld receivable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7,448 </w:t>
            </w:r>
          </w:p>
        </w:tc>
        <w:tc>
          <w:tcPr>
            <w:tcW w:w="11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10,956 </w:t>
            </w:r>
          </w:p>
        </w:tc>
        <w:tc>
          <w:tcPr>
            <w:tcW w:w="14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(3,508)</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542"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Reserve for loss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593,350 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637,169 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57,426 </w:t>
            </w:r>
          </w:p>
        </w:tc>
        <w:tc>
          <w:tcPr>
            <w:tcW w:w="11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52,032 </w:t>
            </w:r>
          </w:p>
        </w:tc>
        <w:tc>
          <w:tcPr>
            <w:tcW w:w="14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5,394 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542"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the Company's reinsurance recoverable on unpaid losses decreased by $24.8 million or 5.4% primarily due to the receipt of loss recoveries from Cavello under the LPT/ADC Agreement.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Net loan receivable from related party decreased by $8.3 million or 9.5% since regular repayment of the loan commenced on January 1, 2025 which continues to reduce the loan receivable on a quarterly basis.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Company's reserve for loss and LAE decreased by $43.8 million or 6.9% primarily due to continuing settlement of loss reserves liabilities primarily for the legacy AmTrust Reinsurance contracts. The funds withheld receivable decreased by 32.0% due to settlement of amounts due under International contracts. Accrued expenses and other liabilities increased by $5.4 million or 10.4% for the three months ended March 31, 2026 primarily due to an increase in reinsurance losses payable under the legacy AmTrust reinsurance agreements.</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NOL Carryforwards</w:t>
      </w:r>
    </w:p>
    <w:p>
      <w:pPr>
        <w:pStyle w:val="TextBody"/>
        <w:bidi w:val="0"/>
        <w:spacing w:lineRule="auto" w:line="240" w:before="0" w:after="120"/>
        <w:ind w:left="0" w:right="0" w:firstLine="270"/>
        <w:jc w:val="both"/>
        <w:rPr/>
      </w:pPr>
      <w:r>
        <w:rPr>
          <w:rFonts w:ascii="Times New Roman;serif" w:hAnsi="Times New Roman;serif"/>
          <w:b w:val="false"/>
          <w:color w:val="000000"/>
          <w:sz w:val="20"/>
        </w:rPr>
        <w:t>We believe the Combination and our ability to increase pre-tax income will create opportunities to utilize Maiden's NOL carryforwards that totaled</w:t>
      </w:r>
      <w:r>
        <w:rPr>
          <w:color w:val="000000"/>
          <w:shd w:fill="FFFFFF" w:val="clear"/>
        </w:rPr>
        <w:t xml:space="preserve"> </w:t>
      </w:r>
      <w:r>
        <w:rPr>
          <w:rFonts w:ascii="Times New Roman;serif" w:hAnsi="Times New Roman;serif"/>
          <w:b w:val="false"/>
          <w:color w:val="000000"/>
          <w:sz w:val="20"/>
        </w:rPr>
        <w:t>$466.7 million</w:t>
      </w:r>
      <w:r>
        <w:rPr>
          <w:color w:val="000000"/>
          <w:shd w:fill="FFFFFF" w:val="clear"/>
        </w:rPr>
        <w:t xml:space="preserve"> </w:t>
      </w:r>
      <w:r>
        <w:rPr>
          <w:rFonts w:ascii="Times New Roman;serif" w:hAnsi="Times New Roman;serif"/>
          <w:b w:val="false"/>
          <w:color w:val="000000"/>
          <w:sz w:val="20"/>
          <w:shd w:fill="FFFFFF" w:val="clear"/>
        </w:rPr>
        <w:t xml:space="preserve">at March 31, 2026. </w:t>
      </w:r>
      <w:r>
        <w:rPr>
          <w:rFonts w:ascii="Times New Roman;serif" w:hAnsi="Times New Roman;serif"/>
          <w:b w:val="false"/>
          <w:color w:val="000000"/>
          <w:sz w:val="20"/>
        </w:rPr>
        <w:t xml:space="preserve">Approximately $387.6 million of these NOL carryforwards expire in various years beginning in 2029. As of </w:t>
      </w:r>
      <w:r>
        <w:rPr>
          <w:rFonts w:ascii="Times New Roman;serif" w:hAnsi="Times New Roman;serif"/>
          <w:b w:val="false"/>
          <w:color w:val="000000"/>
          <w:sz w:val="20"/>
          <w:shd w:fill="FFFFFF" w:val="clear"/>
        </w:rPr>
        <w:t xml:space="preserve">March 31, 2026, </w:t>
      </w:r>
      <w:r>
        <w:rPr>
          <w:rFonts w:ascii="Times New Roman;serif" w:hAnsi="Times New Roman;serif"/>
          <w:b w:val="false"/>
          <w:color w:val="000000"/>
          <w:sz w:val="20"/>
        </w:rPr>
        <w:t>$79.1 million</w:t>
      </w:r>
      <w:r>
        <w:rPr>
          <w:color w:val="000000"/>
          <w:shd w:fill="FFFFFF" w:val="clear"/>
        </w:rPr>
        <w:t xml:space="preserve"> </w:t>
      </w:r>
      <w:r>
        <w:rPr>
          <w:rFonts w:ascii="Times New Roman;serif" w:hAnsi="Times New Roman;serif"/>
          <w:b w:val="false"/>
          <w:color w:val="000000"/>
          <w:sz w:val="20"/>
          <w:shd w:fill="FFFFFF" w:val="clear"/>
        </w:rPr>
        <w:t xml:space="preserve">or </w:t>
      </w:r>
      <w:r>
        <w:rPr>
          <w:rFonts w:ascii="Times New Roman;serif" w:hAnsi="Times New Roman;serif"/>
          <w:b w:val="false"/>
          <w:color w:val="000000"/>
          <w:sz w:val="20"/>
        </w:rPr>
        <w:t xml:space="preserve">16.9% of Maiden's NOL carryforwards have no expiry date under the relevant U.S. tax law. </w:t>
      </w:r>
      <w:r>
        <w:rPr>
          <w:rFonts w:ascii="Times New Roman;serif" w:hAnsi="Times New Roman;serif"/>
          <w:b w:val="false"/>
          <w:color w:val="000000"/>
          <w:sz w:val="20"/>
          <w:shd w:fill="FFFFFF" w:val="clear"/>
        </w:rPr>
        <w:t xml:space="preserve">The NOL carryforwards combined with additional net deferred tax assets ("DTA") primarily related to Maiden's insurance liabilities result in net U.S. DTA (before valuation allowance) of </w:t>
      </w:r>
      <w:r>
        <w:rPr>
          <w:rFonts w:ascii="Times New Roman;serif" w:hAnsi="Times New Roman;serif"/>
          <w:b w:val="false"/>
          <w:color w:val="000000"/>
          <w:sz w:val="20"/>
        </w:rPr>
        <w:t>$138.7 million</w:t>
      </w:r>
      <w:r>
        <w:rPr>
          <w:color w:val="000000"/>
          <w:shd w:fill="FFFFFF" w:val="clear"/>
        </w:rPr>
        <w:t xml:space="preserve"> </w:t>
      </w:r>
      <w:r>
        <w:rPr>
          <w:rFonts w:ascii="Times New Roman;serif" w:hAnsi="Times New Roman;serif"/>
          <w:b w:val="false"/>
          <w:color w:val="000000"/>
          <w:sz w:val="20"/>
          <w:shd w:fill="FFFFFF" w:val="clear"/>
        </w:rPr>
        <w:t xml:space="preserve">or $17.73 per common share at March 31, 2026. </w:t>
      </w:r>
      <w:r>
        <w:rPr>
          <w:rFonts w:ascii="Times New Roman;serif" w:hAnsi="Times New Roman;serif"/>
          <w:b w:val="false"/>
          <w:color w:val="000000"/>
          <w:sz w:val="20"/>
        </w:rPr>
        <w:t xml:space="preserve">Maiden's net U.S. DTA of $138.7 million is not presently recognized on the Company's condensed consolidated balance sheet as a full valuation allowance is carried against it. </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Kestrel LLC has NOL carryforwards of $9.6 million with no expiry date. Additionally, Kestrel LLC has net DTA of $11.0 million or $1.40 per common share </w:t>
      </w:r>
      <w:r>
        <w:rPr>
          <w:rFonts w:ascii="Times New Roman;serif" w:hAnsi="Times New Roman;serif"/>
          <w:b w:val="false"/>
          <w:color w:val="000000"/>
          <w:sz w:val="20"/>
          <w:shd w:fill="FFFFFF" w:val="clear"/>
        </w:rPr>
        <w:t>at March 31, 2026</w:t>
      </w:r>
      <w:r>
        <w:rPr>
          <w:rFonts w:ascii="Times New Roman;serif" w:hAnsi="Times New Roman;serif"/>
          <w:b w:val="false"/>
          <w:color w:val="000000"/>
          <w:sz w:val="20"/>
        </w:rPr>
        <w:t xml:space="preserve">, which mainly relates to tax basis intangibles, which is not presently recognized on the Company's Condensed Consolidated Balance Sheet as a full valuation allowance is carried against it. At this time, the Company believes it is necessary to maintain a full valuation allowance against both net DTA's as more evidence is needed regarding the utilization of these losses. As circumstances further develop, we continuously evaluate the amount of the valuation allowance held against the net DTA. For further details on the NOL carryforwards, please see </w:t>
      </w:r>
      <w:r>
        <w:rPr>
          <w:rFonts w:ascii="Times New Roman;serif" w:hAnsi="Times New Roman;serif"/>
          <w:b w:val="false"/>
          <w:i/>
          <w:color w:val="000000"/>
          <w:sz w:val="20"/>
        </w:rPr>
        <w:t>Notes to Condensed Consolidated Financial Statements: Note 13. Income Taxes</w:t>
      </w:r>
      <w:r>
        <w:rPr>
          <w:color w:val="000000"/>
        </w:rPr>
        <w:t xml:space="preserve"> </w:t>
      </w:r>
      <w:r>
        <w:rPr>
          <w:rFonts w:ascii="Times New Roman;serif" w:hAnsi="Times New Roman;serif"/>
          <w:b w:val="false"/>
          <w:color w:val="000000"/>
          <w:sz w:val="20"/>
        </w:rPr>
        <w:t>under Part 1. Item 1. "</w:t>
      </w:r>
      <w:r>
        <w:rPr>
          <w:rFonts w:ascii="Times New Roman;serif" w:hAnsi="Times New Roman;serif"/>
          <w:b w:val="false"/>
          <w:i/>
          <w:color w:val="000000"/>
          <w:sz w:val="20"/>
        </w:rPr>
        <w:t xml:space="preserve">Financial Information" </w:t>
      </w:r>
      <w:r>
        <w:rPr>
          <w:rFonts w:ascii="Times New Roman;serif" w:hAnsi="Times New Roman;serif"/>
          <w:b w:val="false"/>
          <w:color w:val="000000"/>
          <w:sz w:val="20"/>
        </w:rPr>
        <w:t>of this Quarterly Report on Form 10-Q.</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 xml:space="preserve">Capital Resources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book value per common share decreased to $15.52 and diluted book value per common share decreased to $14.32, compared to $16.57 and $16.28 at December 31, 2025, respectively. Total capital resources decreased by $6.8 million compared to December 31, 2025 due to the following items:</w:t>
      </w:r>
    </w:p>
    <w:p>
      <w:pPr>
        <w:pStyle w:val="TextBody"/>
        <w:bidi w:val="0"/>
        <w:spacing w:lineRule="auto" w:line="240" w:before="0" w:after="60"/>
        <w:ind w:left="0" w:right="0" w:hanging="90"/>
        <w:jc w:val="both"/>
        <w:rPr/>
      </w:pPr>
      <w:r>
        <w:rPr>
          <w:color w:val="000000"/>
        </w:rPr>
        <w:t>•</w:t>
      </w:r>
      <w:r>
        <w:rPr>
          <w:rFonts w:ascii="Times New Roman;serif" w:hAnsi="Times New Roman;serif"/>
          <w:b w:val="false"/>
          <w:color w:val="000000"/>
          <w:sz w:val="20"/>
        </w:rPr>
        <w:t>retained earnings decreased by $7.4 million due to the net loss reported for the three months ended March 31, 2026;</w:t>
      </w:r>
    </w:p>
    <w:p>
      <w:pPr>
        <w:pStyle w:val="TextBody"/>
        <w:bidi w:val="0"/>
        <w:spacing w:lineRule="auto" w:line="240" w:before="0" w:after="60"/>
        <w:ind w:left="0" w:right="0" w:hanging="90"/>
        <w:jc w:val="both"/>
        <w:rPr/>
      </w:pPr>
      <w:r>
        <w:rPr>
          <w:color w:val="000000"/>
        </w:rPr>
        <w:t>•</w:t>
      </w:r>
      <w:r>
        <w:rPr>
          <w:rFonts w:ascii="Times New Roman;serif" w:hAnsi="Times New Roman;serif"/>
          <w:b w:val="false"/>
          <w:color w:val="000000"/>
          <w:sz w:val="20"/>
        </w:rPr>
        <w:t>AOCI decreased by $0.4 million driven by: (1) net unrealized losses of $0.6 million on our AFS investment portfolio due to market price movements in the three months ended March 31, 2026, partly offset by: (2) an increase in foreign currency translation adjustment of $0.2 million in the three months ended March 31, 2026 due to appreciation of the U.S. dollar on the re-measurement of net liabilities denominated in British pound and euro;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40" w:before="0" w:after="120"/>
        <w:ind w:left="0" w:right="0" w:hanging="90"/>
        <w:jc w:val="both"/>
        <w:rPr/>
      </w:pPr>
      <w:r>
        <w:rPr>
          <w:color w:val="000000"/>
        </w:rPr>
        <w:t>•</w:t>
      </w:r>
      <w:r>
        <w:rPr>
          <w:rFonts w:ascii="Times New Roman;serif" w:hAnsi="Times New Roman;serif"/>
          <w:b w:val="false"/>
          <w:color w:val="000000"/>
          <w:sz w:val="20"/>
        </w:rPr>
        <w:t xml:space="preserve">treasury shares increased by $0.5 million due to common shares repurchases of $0.5 million which represent tax withholding in respect of tax obligations on the vesting of non-performance-based restricted shares; partly offset by: </w:t>
      </w:r>
    </w:p>
    <w:p>
      <w:pPr>
        <w:pStyle w:val="TextBody"/>
        <w:bidi w:val="0"/>
        <w:spacing w:lineRule="auto" w:line="240" w:before="0" w:after="120"/>
        <w:ind w:left="0" w:right="0" w:hanging="90"/>
        <w:jc w:val="both"/>
        <w:rPr/>
      </w:pPr>
      <w:r>
        <w:rPr>
          <w:color w:val="000000"/>
        </w:rPr>
        <w:t>•</w:t>
      </w:r>
      <w:r>
        <w:rPr>
          <w:rFonts w:ascii="Times New Roman;serif" w:hAnsi="Times New Roman;serif"/>
          <w:b w:val="false"/>
          <w:color w:val="000000"/>
          <w:sz w:val="20"/>
        </w:rPr>
        <w:t>additional paid-in capital increased by $1.4 million due to stock based compensation expense incurred during the three months ended March 31, 2026;</w:t>
      </w:r>
    </w:p>
    <w:p>
      <w:pPr>
        <w:pStyle w:val="TextBody"/>
        <w:bidi w:val="0"/>
        <w:spacing w:lineRule="auto" w:line="240"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movement in our capital resources at March 31, 2026 and December 31, 2025:</w:t>
      </w:r>
    </w:p>
    <w:tbl>
      <w:tblPr>
        <w:tblW w:w="8597" w:type="dxa"/>
        <w:jc w:val="center"/>
        <w:tblInd w:w="0" w:type="dxa"/>
        <w:tblLayout w:type="fixed"/>
        <w:tblCellMar>
          <w:top w:w="28" w:type="dxa"/>
          <w:left w:w="28" w:type="dxa"/>
          <w:bottom w:w="28" w:type="dxa"/>
          <w:right w:w="28" w:type="dxa"/>
        </w:tblCellMar>
      </w:tblPr>
      <w:tblGrid>
        <w:gridCol w:w="1299"/>
        <w:gridCol w:w="1141"/>
        <w:gridCol w:w="1144"/>
        <w:gridCol w:w="109"/>
        <w:gridCol w:w="109"/>
        <w:gridCol w:w="109"/>
        <w:gridCol w:w="232"/>
        <w:gridCol w:w="908"/>
        <w:gridCol w:w="119"/>
        <w:gridCol w:w="109"/>
        <w:gridCol w:w="109"/>
        <w:gridCol w:w="109"/>
        <w:gridCol w:w="276"/>
        <w:gridCol w:w="1081"/>
        <w:gridCol w:w="142"/>
        <w:gridCol w:w="109"/>
        <w:gridCol w:w="109"/>
        <w:gridCol w:w="109"/>
        <w:gridCol w:w="211"/>
        <w:gridCol w:w="691"/>
        <w:gridCol w:w="109"/>
        <w:gridCol w:w="109"/>
        <w:gridCol w:w="154"/>
      </w:tblGrid>
      <w:tr>
        <w:trPr/>
        <w:tc>
          <w:tcPr>
            <w:tcW w:w="12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in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at par value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1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4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177,534 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1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4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 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shares, at cost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(51,949)</w:t>
            </w:r>
          </w:p>
        </w:tc>
        <w:tc>
          <w:tcPr>
            <w:tcW w:w="11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(51,463)</w:t>
            </w:r>
          </w:p>
        </w:tc>
        <w:tc>
          <w:tcPr>
            <w:tcW w:w="14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Kestrel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121,437 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128,284 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 principal amount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262,361 </w:t>
            </w:r>
          </w:p>
        </w:tc>
        <w:tc>
          <w:tcPr>
            <w:tcW w:w="11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262,361 </w:t>
            </w:r>
          </w:p>
        </w:tc>
        <w:tc>
          <w:tcPr>
            <w:tcW w:w="14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Total capital resources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383,798 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390,645 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270"/>
        <w:jc w:val="both"/>
        <w:rPr/>
      </w:pPr>
      <w:r>
        <w:rPr>
          <w:rFonts w:ascii="Times New Roman;serif" w:hAnsi="Times New Roman;serif"/>
          <w:b w:val="false"/>
          <w:color w:val="000000"/>
          <w:sz w:val="20"/>
        </w:rPr>
        <w:t>Please refer to "</w:t>
      </w:r>
      <w:r>
        <w:rPr>
          <w:rFonts w:ascii="Times New Roman;serif" w:hAnsi="Times New Roman;serif"/>
          <w:b w:val="false"/>
          <w:i/>
          <w:color w:val="000000"/>
          <w:sz w:val="20"/>
        </w:rPr>
        <w:t>Notes to Consolidated Financial Statements Note 6. Shareholders' Equity</w:t>
      </w:r>
      <w:r>
        <w:rPr>
          <w:rFonts w:ascii="Times New Roman;serif" w:hAnsi="Times New Roman;serif"/>
          <w:b w:val="false"/>
          <w:color w:val="000000"/>
          <w:sz w:val="20"/>
        </w:rPr>
        <w:t>" included under Part I Item 1. "</w:t>
      </w:r>
      <w:r>
        <w:rPr>
          <w:rFonts w:ascii="Times New Roman;serif" w:hAnsi="Times New Roman;serif"/>
          <w:b w:val="false"/>
          <w:i/>
          <w:color w:val="000000"/>
          <w:sz w:val="20"/>
        </w:rPr>
        <w:t xml:space="preserve">Financial Information" </w:t>
      </w:r>
      <w:r>
        <w:rPr>
          <w:rFonts w:ascii="Times New Roman;serif" w:hAnsi="Times New Roman;serif"/>
          <w:b w:val="false"/>
          <w:color w:val="000000"/>
          <w:sz w:val="20"/>
        </w:rPr>
        <w:t xml:space="preserve">of this Quarterly Report on Form 10-Q for a discussion of equity instruments issued by the Company. Book value and diluted book value per common share at March 31, 2026 and December 31, 2025 were as follows: </w:t>
      </w:r>
    </w:p>
    <w:tbl>
      <w:tblPr>
        <w:tblW w:w="9996" w:type="dxa"/>
        <w:jc w:val="center"/>
        <w:tblInd w:w="0" w:type="dxa"/>
        <w:tblLayout w:type="fixed"/>
        <w:tblCellMar>
          <w:top w:w="28" w:type="dxa"/>
          <w:left w:w="28" w:type="dxa"/>
          <w:bottom w:w="28" w:type="dxa"/>
          <w:right w:w="28" w:type="dxa"/>
        </w:tblCellMar>
      </w:tblPr>
      <w:tblGrid>
        <w:gridCol w:w="2372"/>
        <w:gridCol w:w="2079"/>
        <w:gridCol w:w="2088"/>
        <w:gridCol w:w="109"/>
        <w:gridCol w:w="109"/>
        <w:gridCol w:w="109"/>
        <w:gridCol w:w="232"/>
        <w:gridCol w:w="908"/>
        <w:gridCol w:w="119"/>
        <w:gridCol w:w="109"/>
        <w:gridCol w:w="109"/>
        <w:gridCol w:w="109"/>
        <w:gridCol w:w="273"/>
        <w:gridCol w:w="1072"/>
        <w:gridCol w:w="199"/>
      </w:tblGrid>
      <w:tr>
        <w:trPr/>
        <w:tc>
          <w:tcPr>
            <w:tcW w:w="2372"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6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53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Ending common shareholders’ equity</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121,437 </w:t>
            </w:r>
          </w:p>
        </w:tc>
        <w:tc>
          <w:tcPr>
            <w:tcW w:w="11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128,284 </w:t>
            </w:r>
          </w:p>
        </w:tc>
        <w:tc>
          <w:tcPr>
            <w:tcW w:w="19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Proceeds from assumed conversion of dilutive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Numerator for diluted book value per common share calculation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121,437 </w:t>
            </w:r>
          </w:p>
        </w:tc>
        <w:tc>
          <w:tcPr>
            <w:tcW w:w="11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128,284 </w:t>
            </w:r>
          </w:p>
        </w:tc>
        <w:tc>
          <w:tcPr>
            <w:tcW w:w="19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Common shares outstanding</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7,824,030 </w:t>
            </w:r>
          </w:p>
        </w:tc>
        <w:tc>
          <w:tcPr>
            <w:tcW w:w="11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7,741,943 </w:t>
            </w:r>
          </w:p>
        </w:tc>
        <w:tc>
          <w:tcPr>
            <w:tcW w:w="19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Shares issued from assumed conversion of dilutive options and restricted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655,643 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136,197 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Denominator for diluted book value per common share calculation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8,479,673 </w:t>
            </w:r>
          </w:p>
        </w:tc>
        <w:tc>
          <w:tcPr>
            <w:tcW w:w="11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7,878,140 </w:t>
            </w:r>
          </w:p>
        </w:tc>
        <w:tc>
          <w:tcPr>
            <w:tcW w:w="19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Book value per common share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11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19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Diluted book value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jc w:val="left"/>
        <w:rPr>
          <w:rFonts w:ascii="Times New Roman;serif" w:hAnsi="Times New Roman;serif"/>
          <w:b/>
          <w:i/>
          <w:color w:val="000000"/>
          <w:sz w:val="20"/>
        </w:rPr>
      </w:pPr>
      <w:r>
        <w:rPr>
          <w:rFonts w:ascii="Times New Roman;serif" w:hAnsi="Times New Roman;serif"/>
          <w:b/>
          <w:i/>
          <w:color w:val="000000"/>
          <w:sz w:val="20"/>
        </w:rPr>
        <w:t>Senior Notes</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At March 31, 2026, Kestrel Group had outstanding publicly-traded senior notes which were issued in 2016 ("2016 Senior Notes") by its now wholly owned subsidiary Maiden and outstanding publicly-traded senior notes which were issued in 2013 ("2013 Senior Notes") by its now wholly owned subsidiary, Maiden NA, collectively referred to as the Company's outstanding senior notes ("Senior Notes"). The Senior Notes are unsecured and unsubordinated obligations of the Company.</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May 27, 2025 in connection with the Combination, (i) Maiden, as issuer, the Company, as guarantor, and Wilmington Trust, National Association, as trustee, entered into a second supplemental indenture (the “Second Supplemental Indenture”) to that certain indenture dated as of June 14, 2016, providing that the Company will fully and unconditionally guarantee Maiden’s 6.625% Senior Notes due 2046 and (ii) Maiden NA, as issuer, the Company, as guarantor, and Wilmington Trust Company, as trustee, entered into a fourth supplemental indenture (together with the Second Supplemental Indenture, the “Supplemental Indentures”) to that certain indenture dated as of June 24, 2011, providing that the Company will fully and unconditionally guarantee MHNA’s 7.75% Senior Notes due 2043. </w:t>
      </w:r>
    </w:p>
    <w:p>
      <w:pPr>
        <w:pStyle w:val="TextBody"/>
        <w:bidi w:val="0"/>
        <w:spacing w:lineRule="auto" w:line="240" w:before="0" w:after="120"/>
        <w:jc w:val="both"/>
        <w:rPr/>
      </w:pPr>
      <w:r>
        <w:rPr>
          <w:rFonts w:ascii="Times New Roman;serif" w:hAnsi="Times New Roman;serif"/>
          <w:b w:val="false"/>
          <w:color w:val="000000"/>
          <w:sz w:val="20"/>
        </w:rPr>
        <w:t>The Company did not enter into any short-term borrowing arrangements during the three months ended March 31, 2026. Please refer to "</w:t>
      </w:r>
      <w:r>
        <w:rPr>
          <w:rFonts w:ascii="Times New Roman;serif" w:hAnsi="Times New Roman;serif"/>
          <w:b w:val="false"/>
          <w:i/>
          <w:color w:val="000000"/>
          <w:sz w:val="20"/>
        </w:rPr>
        <w:t>Notes to Condensed Consolidated Financial Statements (unaudited) Note 7. Long Term Debt</w:t>
      </w:r>
      <w:r>
        <w:rPr>
          <w:rFonts w:ascii="Times New Roman;serif" w:hAnsi="Times New Roman;serif"/>
          <w:b w:val="false"/>
          <w:color w:val="000000"/>
          <w:sz w:val="20"/>
        </w:rPr>
        <w:t>" included under Part I Item 1. "</w:t>
      </w:r>
      <w:r>
        <w:rPr>
          <w:rFonts w:ascii="Times New Roman;serif" w:hAnsi="Times New Roman;serif"/>
          <w:b w:val="false"/>
          <w:i/>
          <w:color w:val="000000"/>
          <w:sz w:val="20"/>
        </w:rPr>
        <w:t xml:space="preserve">Financial Information" </w:t>
      </w:r>
      <w:r>
        <w:rPr>
          <w:rFonts w:ascii="Times New Roman;serif" w:hAnsi="Times New Roman;serif"/>
          <w:b w:val="false"/>
          <w:color w:val="000000"/>
          <w:sz w:val="20"/>
        </w:rPr>
        <w:t>of this Form 10-Q for a discussion of the Company’s Senior Notes. Please refer to "</w:t>
      </w:r>
      <w:r>
        <w:rPr>
          <w:rFonts w:ascii="Times New Roman;serif" w:hAnsi="Times New Roman;serif"/>
          <w:b w:val="false"/>
          <w:i/>
          <w:color w:val="000000"/>
          <w:sz w:val="20"/>
        </w:rPr>
        <w:t>Notes to Condensed Consolidated Financial Statements (unaudited) Note 11. Commitments, Contingencies and Guarantees</w:t>
      </w:r>
      <w:r>
        <w:rPr>
          <w:rFonts w:ascii="Times New Roman;serif" w:hAnsi="Times New Roman;serif"/>
          <w:b w:val="false"/>
          <w:color w:val="000000"/>
          <w:sz w:val="20"/>
        </w:rPr>
        <w:t>" included under Part I Item 1. "</w:t>
      </w:r>
      <w:r>
        <w:rPr>
          <w:rFonts w:ascii="Times New Roman;serif" w:hAnsi="Times New Roman;serif"/>
          <w:b w:val="false"/>
          <w:i/>
          <w:color w:val="000000"/>
          <w:sz w:val="20"/>
        </w:rPr>
        <w:t xml:space="preserve">Financial Information" </w:t>
      </w:r>
      <w:r>
        <w:rPr>
          <w:rFonts w:ascii="Times New Roman;serif" w:hAnsi="Times New Roman;serif"/>
          <w:b w:val="false"/>
          <w:color w:val="000000"/>
          <w:sz w:val="20"/>
        </w:rPr>
        <w:t xml:space="preserve">of this Form 10-Q for ongoing litigation regarding the 2013 Senior Notes.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Maiden does not have any significant operations or assets other than ownership of the shares of our subsidiaries. The dividends and other permitted distributions from Maiden NA (and its subsidiaries) are our sole source of funds to meet ongoing cash requirements, including debt service payments. Factors that may affect payments to holders of the 2013 Senior Notes include restrictions on the payments of dividends by Maiden Reinsurance to Maiden NA which provides the sole source of income for interest payments on the 2013 Senior Notes. In 2025, the Vermont DFR approved an annual dividend program from Maiden Reinsurance to Maiden NA, but required prior approval of quarterly dividends before payment.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40" w:before="0" w:after="120"/>
        <w:ind w:left="0" w:right="0" w:firstLine="270"/>
        <w:jc w:val="both"/>
        <w:rPr/>
      </w:pPr>
      <w:r>
        <w:rPr>
          <w:rFonts w:ascii="Times New Roman;serif" w:hAnsi="Times New Roman;serif"/>
          <w:b w:val="false"/>
          <w:color w:val="000000"/>
          <w:sz w:val="20"/>
        </w:rPr>
        <w:t>To date the Vermont DFR has approved all dividend requests under this program. Subsequent to these approvals, plus the approval for the $40.0 million extraordinary dividend to provide for consideration to the Kestrel shareholders pursuant to the terms of the Combination Agreement, Maiden Reinsurance paid total dividends of</w:t>
      </w:r>
      <w:r>
        <w:rPr>
          <w:color w:val="000000"/>
          <w:shd w:fill="FFFFFF" w:val="clear"/>
        </w:rPr>
        <w:t xml:space="preserve"> </w:t>
      </w:r>
      <w:r>
        <w:rPr>
          <w:rFonts w:ascii="Times New Roman;serif" w:hAnsi="Times New Roman;serif"/>
          <w:b w:val="false"/>
          <w:color w:val="000000"/>
          <w:sz w:val="20"/>
        </w:rPr>
        <w:t>$145.0 million to Maiden NA as of March 31, 2026.</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summarized financial information below has been presented on a combined basis for the issuer Maiden NA and the guarantor Maiden, excluding all other subsidiaries. Intercompany balances and transactions between Maiden NA and Maiden, whose information is presented above on a combined basis, were eliminated. Any investment by Maiden NA or Maiden in subsidiaries that are not issuers or guarantors is not presented in the financial information below. Intercompany balances with subsidiaries that are not issuers or guarantors and any related party transactions were separately disclosed below and are not included in the total assets and total liabilities presented for Maiden NA and Maiden.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net loss for Maiden was due to interest and amortization expenses on the Senior Notes as well as general and administrative expenses and net loss in Maiden NA reflects general operating expenses for the period. Summarized financial information of Maiden NA and Maiden as of March 31, 2026 and for the three months ended March 31, 2026 were as follows:</w:t>
      </w:r>
    </w:p>
    <w:tbl>
      <w:tblPr>
        <w:tblW w:w="8285" w:type="dxa"/>
        <w:jc w:val="center"/>
        <w:tblInd w:w="0" w:type="dxa"/>
        <w:tblLayout w:type="fixed"/>
        <w:tblCellMar>
          <w:top w:w="28" w:type="dxa"/>
          <w:left w:w="28" w:type="dxa"/>
          <w:bottom w:w="28" w:type="dxa"/>
          <w:right w:w="28" w:type="dxa"/>
        </w:tblCellMar>
      </w:tblPr>
      <w:tblGrid>
        <w:gridCol w:w="2030"/>
        <w:gridCol w:w="1781"/>
        <w:gridCol w:w="1798"/>
        <w:gridCol w:w="109"/>
        <w:gridCol w:w="109"/>
        <w:gridCol w:w="109"/>
        <w:gridCol w:w="211"/>
        <w:gridCol w:w="721"/>
        <w:gridCol w:w="109"/>
        <w:gridCol w:w="109"/>
        <w:gridCol w:w="109"/>
        <w:gridCol w:w="109"/>
        <w:gridCol w:w="211"/>
        <w:gridCol w:w="616"/>
        <w:gridCol w:w="154"/>
      </w:tblGrid>
      <w:tr>
        <w:trPr/>
        <w:tc>
          <w:tcPr>
            <w:tcW w:w="2030"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Maiden 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Maiden</w:t>
            </w:r>
          </w:p>
        </w:tc>
      </w:tr>
      <w:tr>
        <w:trPr/>
        <w:tc>
          <w:tcPr>
            <w:tcW w:w="56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 thousands)</w:t>
            </w:r>
          </w:p>
        </w:tc>
      </w:tr>
      <w:tr>
        <w:trPr/>
        <w:tc>
          <w:tcPr>
            <w:tcW w:w="560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12,766 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due from subsidiaries (not included in total assets above)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6,385 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due to subsidiaries (not included in total liabilities above)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loan payable (not included in total liabilities above)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336,206 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for year-to-date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for year-to-date period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(7,863)</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With respect to the related party loan payable for Maiden above, under the conditions stipulated in the Vermont DFR approval for the Combination, Maiden Reinsurance (as the lender) is no longer permitted to include the corresponding related party loan receivable from Maiden (and related accrued interest) as an admitted asset for statutory capital and reporting purposes. As a result, Maiden Reinsurance's ratio of risk-based capital to total adjusted capital was significantly reduced, which remains sufficient to not only support the dividends related to the Combination and recurring annual dividends (which require prior approval by the Vermont DFR) but our ability to selectively underwrite business in support of our Program Services segment in the future.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ratio of Debt to Total Capital Resources at March 31, 2026 and December 31, 2025 was computed as follows: </w:t>
      </w:r>
    </w:p>
    <w:tbl>
      <w:tblPr>
        <w:tblW w:w="6836" w:type="dxa"/>
        <w:jc w:val="center"/>
        <w:tblInd w:w="0" w:type="dxa"/>
        <w:tblLayout w:type="fixed"/>
        <w:tblCellMar>
          <w:top w:w="28" w:type="dxa"/>
          <w:left w:w="28" w:type="dxa"/>
          <w:bottom w:w="28" w:type="dxa"/>
          <w:right w:w="28" w:type="dxa"/>
        </w:tblCellMar>
      </w:tblPr>
      <w:tblGrid>
        <w:gridCol w:w="1207"/>
        <w:gridCol w:w="1060"/>
        <w:gridCol w:w="1062"/>
        <w:gridCol w:w="109"/>
        <w:gridCol w:w="109"/>
        <w:gridCol w:w="109"/>
        <w:gridCol w:w="211"/>
        <w:gridCol w:w="826"/>
        <w:gridCol w:w="271"/>
        <w:gridCol w:w="109"/>
        <w:gridCol w:w="109"/>
        <w:gridCol w:w="109"/>
        <w:gridCol w:w="241"/>
        <w:gridCol w:w="943"/>
        <w:gridCol w:w="361"/>
      </w:tblGrid>
      <w:tr>
        <w:trPr/>
        <w:tc>
          <w:tcPr>
            <w:tcW w:w="120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32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Senior notes - principal amount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262,361 </w:t>
            </w:r>
          </w:p>
        </w:tc>
        <w:tc>
          <w:tcPr>
            <w:tcW w:w="27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262,361 </w:t>
            </w:r>
          </w:p>
        </w:tc>
        <w:tc>
          <w:tcPr>
            <w:tcW w:w="36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128,284 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Total capital resources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383,798 </w:t>
            </w:r>
          </w:p>
        </w:tc>
        <w:tc>
          <w:tcPr>
            <w:tcW w:w="27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390,645 </w:t>
            </w:r>
          </w:p>
        </w:tc>
        <w:tc>
          <w:tcPr>
            <w:tcW w:w="36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Ratio of debt to total capital resources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lineRule="auto" w:line="240" w:before="0" w:after="120"/>
        <w:ind w:left="0" w:right="0" w:firstLine="270"/>
        <w:jc w:val="both"/>
        <w:rPr/>
      </w:pPr>
      <w:r>
        <w:rPr>
          <w:rFonts w:ascii="Times New Roman;serif" w:hAnsi="Times New Roman;serif"/>
          <w:b w:val="false"/>
          <w:color w:val="000000"/>
          <w:sz w:val="20"/>
        </w:rPr>
        <w:t>C</w:t>
      </w:r>
      <w:r>
        <w:rPr>
          <w:rFonts w:ascii="Times New Roman;serif" w:hAnsi="Times New Roman;serif"/>
          <w:b w:val="false"/>
          <w:color w:val="000000"/>
          <w:sz w:val="20"/>
          <w:shd w:fill="FFFFFF" w:val="clear"/>
        </w:rPr>
        <w:t>ertain of the Company's investments in limited partnerships are related to real estate joint ventures with interests in multi-property projects with varying strategies ranging from the development of properties to the ownership of income-producing properties. In certain of these joint ventures, the Company has provided certain indemnities, guarantees and commitments to ce</w:t>
      </w:r>
      <w:r>
        <w:rPr>
          <w:rFonts w:ascii="Times New Roman;serif" w:hAnsi="Times New Roman;serif"/>
          <w:b w:val="false"/>
          <w:color w:val="000000"/>
          <w:sz w:val="20"/>
        </w:rPr>
        <w:t>rtain parties</w:t>
      </w:r>
      <w:r>
        <w:rPr>
          <w:color w:val="000000"/>
          <w:shd w:fill="FFFFFF" w:val="clear"/>
        </w:rPr>
        <w:t xml:space="preserve"> </w:t>
      </w:r>
      <w:r>
        <w:rPr>
          <w:rFonts w:ascii="Times New Roman;serif" w:hAnsi="Times New Roman;serif"/>
          <w:b w:val="false"/>
          <w:color w:val="000000"/>
          <w:sz w:val="20"/>
          <w:shd w:fill="FFFFFF" w:val="clear"/>
        </w:rPr>
        <w:t xml:space="preserve">such that it may be required to make payments now or in the future </w:t>
      </w:r>
      <w:r>
        <w:rPr>
          <w:rFonts w:ascii="Times New Roman;serif" w:hAnsi="Times New Roman;serif"/>
          <w:b w:val="false"/>
          <w:color w:val="000000"/>
          <w:sz w:val="20"/>
        </w:rPr>
        <w:t>as further described in the "</w:t>
      </w:r>
      <w:r>
        <w:rPr>
          <w:rFonts w:ascii="Times New Roman;serif" w:hAnsi="Times New Roman;serif"/>
          <w:b w:val="false"/>
          <w:i/>
          <w:color w:val="000000"/>
          <w:sz w:val="20"/>
        </w:rPr>
        <w:t>Notes to Condensed Consolidated Financial Statements (unaudited) Note 11. Commitments, Contingencies and Guarantees</w:t>
      </w:r>
      <w:r>
        <w:rPr>
          <w:rFonts w:ascii="Times New Roman;serif" w:hAnsi="Times New Roman;serif"/>
          <w:b w:val="false"/>
          <w:color w:val="000000"/>
          <w:sz w:val="20"/>
        </w:rPr>
        <w:t>" included under Part I Item 1 "</w:t>
      </w:r>
      <w:r>
        <w:rPr>
          <w:rFonts w:ascii="Times New Roman;serif" w:hAnsi="Times New Roman;serif"/>
          <w:b w:val="false"/>
          <w:i/>
          <w:color w:val="000000"/>
          <w:sz w:val="20"/>
        </w:rPr>
        <w:t xml:space="preserve">Financial Information" </w:t>
      </w:r>
      <w:r>
        <w:rPr>
          <w:rFonts w:ascii="Times New Roman;serif" w:hAnsi="Times New Roman;serif"/>
          <w:b w:val="false"/>
          <w:color w:val="000000"/>
          <w:sz w:val="20"/>
        </w:rPr>
        <w:t>of this Form 10-Q.</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Any loss for which the Company could be liable would be contingent on the default of a loan by the real estate joint venture entity for which the Company provided a financial guarantee to a lender. While the Company has committed to aggregate limits as to the amount of guarantees it will provide as part of its limited partnerships, guarantees are only provided on an individual transaction basis and are subject to the terms and conditions of each transaction mutually agreed by the parties involved. The Company is not bound to such guarantees without its express authorization.</w:t>
      </w:r>
    </w:p>
    <w:p>
      <w:pPr>
        <w:pStyle w:val="TextBody"/>
        <w:bidi w:val="0"/>
        <w:spacing w:lineRule="auto" w:line="240" w:before="0" w:after="2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discussed above, at March 31, 2026, guarantees of $72.2 million have been provided to lenders by Maiden Reinsurance on behalf of the real estate joint venture, however, the likelihood of Maiden Reinsurance incurring any losses pertaining to project level financing guarantees was determined to be remote. Therefore, no liability has been accrued under ASC 450-20.</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40" w:before="120" w:after="120"/>
        <w:jc w:val="both"/>
        <w:rPr>
          <w:rFonts w:ascii="Times New Roman;serif" w:hAnsi="Times New Roman;serif"/>
          <w:b/>
          <w:color w:val="000000"/>
          <w:sz w:val="20"/>
        </w:rPr>
      </w:pPr>
      <w:r>
        <w:rPr>
          <w:rFonts w:ascii="Times New Roman;serif" w:hAnsi="Times New Roman;serif"/>
          <w:b/>
          <w:color w:val="000000"/>
          <w:sz w:val="20"/>
        </w:rPr>
        <w:t>Non-GAAP Measures</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Please refer to our </w:t>
      </w:r>
      <w:r>
        <w:rPr>
          <w:rFonts w:ascii="Times New Roman;serif" w:hAnsi="Times New Roman;serif"/>
          <w:b w:val="false"/>
          <w:i/>
          <w:color w:val="000000"/>
          <w:sz w:val="20"/>
        </w:rPr>
        <w:t>Key Financial Measures</w:t>
      </w:r>
      <w:r>
        <w:rPr>
          <w:color w:val="000000"/>
        </w:rPr>
        <w:t xml:space="preserve"> </w:t>
      </w:r>
      <w:r>
        <w:rPr>
          <w:rFonts w:ascii="Times New Roman;serif" w:hAnsi="Times New Roman;serif"/>
          <w:b w:val="false"/>
          <w:color w:val="000000"/>
          <w:sz w:val="20"/>
        </w:rPr>
        <w:t>presented in the "</w:t>
      </w:r>
      <w:r>
        <w:rPr>
          <w:rFonts w:ascii="Times New Roman;serif" w:hAnsi="Times New Roman;serif"/>
          <w:b w:val="false"/>
          <w:i/>
          <w:color w:val="000000"/>
          <w:sz w:val="20"/>
        </w:rPr>
        <w:t>Overview to Critical Accounting Policies"</w:t>
      </w:r>
      <w:r>
        <w:rPr>
          <w:color w:val="000000"/>
        </w:rPr>
        <w:t xml:space="preserve"> </w:t>
      </w:r>
      <w:r>
        <w:rPr>
          <w:rFonts w:ascii="Times New Roman;serif" w:hAnsi="Times New Roman;serif"/>
          <w:b w:val="false"/>
          <w:color w:val="000000"/>
          <w:sz w:val="20"/>
        </w:rPr>
        <w:t>section for financial measures in accordance with GAAP in the Condensed Consolidated Balance Sheets and Condensed Consolidated Statements of Operations and Comprehensive Loss. In addition, management uses certain non-GAAP financial measures to evaluate the Company's financial performance and the overall growth in value generated for the Company’s common shareholders. Management believes that these measures, which may be defined differently by other companies, explain the Company’s results to investors in a manner that allows for a more complete understanding of the underlying trends in the Company’s business. These non-GAAP financial measures should not be viewed as a substitute for those determined in accordance with U.S. GAAP.</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Non-GAAP operating earnings (loss) and non-GAAP diluted operating earnings (loss) per common share</w:t>
      </w:r>
      <w:r>
        <w:rPr>
          <w:rFonts w:ascii="Times New Roman;serif" w:hAnsi="Times New Roman;serif"/>
          <w:b w:val="false"/>
          <w:color w:val="000000"/>
          <w:sz w:val="20"/>
        </w:rPr>
        <w:t xml:space="preserve">: Management believes that the use of non-GAAP operating earnings and non-GAAP diluted operating earnings per common share enables investors and other users of the Company’s financial information to analyze its performance in a manner similar to how management analyzes performance. Management also believes that these measures generally follow industry practice therefore allowing the users of financial information to compare the Company’s performance with its industry peer group, and that the equity analysts and certain rating agencies which follow the Company, and the insurance industry as a whole, generally exclude these items from their analyses for the same reasons. Non-GAAP operating earnings should not be viewed as a substitute for U.S. GAAP net income.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Non-GAAP operating earnings (loss) is an internal performance measure used by management as these measures focus on the underlying fundamentals of the Company's operations by excluding, on a recurring basis: (1) net realized and unrealized investment gains (losses); (2) foreign exchange and other gains (losses); (3) interest in income (loss) of equity method investments; and (4) amortization of intangible assets. It also excludes on a non-recurring basis: (1) loss from discontinued operations, net of income tax and; (2) restructuring and severance costs; and (3) costs incurred due to the Combination on May 27, 2025. We excluded net realized and unrealized investment gains (losses), interest in income (loss) of equity method investments and foreign exchange and other gains (losses) as we believe these are influenced by market opportunities and other factors. We do not believe amortization of intangible assets, the net loss from our discontinued operations; restructuring and severance costs; and costs incurred due to the Combination on May 27, 2025 are representative of our ongoing and future business. We believe all of these amounts are substantially independent of our business and any potential future underwriting process, therefore their inclusion would distort the analysis of underlying trends in our operations. </w:t>
      </w:r>
    </w:p>
    <w:p>
      <w:pPr>
        <w:pStyle w:val="TextBody"/>
        <w:bidi w:val="0"/>
        <w:spacing w:lineRule="auto" w:line="240" w:before="0" w:after="120"/>
        <w:ind w:left="0" w:right="0" w:firstLine="270"/>
        <w:jc w:val="both"/>
        <w:rPr/>
      </w:pPr>
      <w:r>
        <w:rPr>
          <w:rFonts w:ascii="Times New Roman;serif" w:hAnsi="Times New Roman;serif"/>
          <w:b w:val="false"/>
          <w:color w:val="000000"/>
          <w:sz w:val="20"/>
        </w:rPr>
        <w:t>Non-GAAP</w:t>
      </w:r>
      <w:r>
        <w:rPr>
          <w:color w:val="000000"/>
        </w:rPr>
        <w:t xml:space="preserve"> </w:t>
      </w:r>
      <w:r>
        <w:rPr>
          <w:rFonts w:ascii="Times New Roman;serif" w:hAnsi="Times New Roman;serif"/>
          <w:b w:val="false"/>
          <w:color w:val="000000"/>
          <w:sz w:val="20"/>
        </w:rPr>
        <w:t xml:space="preserve">operating loss was $10.4 million for the three months ended March 31, 2026 compared to a loss of $0.4 million for the same period in 2025. The non-GAAP operating loss increased by $10.0 million for the three months ended March 31, 2026 compared to the same period in 2025 primarily due to higher corporate expenses of $6.9 million, an underwriting loss of $3.3 million in the Legacy Reinsurance segment and net interest and amortization expense on the Senior Notes of $3.9 million, partly offset by higher net investment income which increased by $2.5 million and Program Services segment net fee income which increased by $1.4 million. The calculation, reconciliation to nearest GAAP measure and discussion of relevant non-GAAP measures used by management are as follows: </w:t>
      </w:r>
    </w:p>
    <w:tbl>
      <w:tblPr>
        <w:tblW w:w="10205" w:type="dxa"/>
        <w:jc w:val="left"/>
        <w:tblInd w:w="0" w:type="dxa"/>
        <w:tblLayout w:type="fixed"/>
        <w:tblCellMar>
          <w:top w:w="28" w:type="dxa"/>
          <w:left w:w="28" w:type="dxa"/>
          <w:bottom w:w="28" w:type="dxa"/>
          <w:right w:w="28" w:type="dxa"/>
        </w:tblCellMar>
      </w:tblPr>
      <w:tblGrid>
        <w:gridCol w:w="2438"/>
        <w:gridCol w:w="2117"/>
        <w:gridCol w:w="2137"/>
        <w:gridCol w:w="109"/>
        <w:gridCol w:w="109"/>
        <w:gridCol w:w="109"/>
        <w:gridCol w:w="243"/>
        <w:gridCol w:w="916"/>
        <w:gridCol w:w="125"/>
        <w:gridCol w:w="125"/>
        <w:gridCol w:w="125"/>
        <w:gridCol w:w="125"/>
        <w:gridCol w:w="243"/>
        <w:gridCol w:w="673"/>
        <w:gridCol w:w="125"/>
        <w:gridCol w:w="109"/>
        <w:gridCol w:w="109"/>
        <w:gridCol w:w="109"/>
        <w:gridCol w:w="159"/>
      </w:tblGrid>
      <w:tr>
        <w:trPr/>
        <w:tc>
          <w:tcPr>
            <w:tcW w:w="2438"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 thousands except per share data)</w:t>
            </w:r>
          </w:p>
        </w:tc>
        <w:tc>
          <w:tcPr>
            <w:tcW w:w="486" w:type="dxa"/>
            <w:gridSpan w:val="4"/>
            <w:tcBorders/>
          </w:tcPr>
          <w:p>
            <w:pPr>
              <w:pStyle w:val="TableContents"/>
              <w:bidi w:val="0"/>
              <w:spacing w:before="0" w:after="283"/>
              <w:jc w:val="left"/>
              <w:rPr>
                <w:sz w:val="4"/>
                <w:szCs w:val="4"/>
              </w:rPr>
            </w:pPr>
            <w:r>
              <w:rPr>
                <w:sz w:val="4"/>
                <w:szCs w:val="4"/>
              </w:rPr>
            </w:r>
          </w:p>
        </w:tc>
      </w:tr>
      <w:tr>
        <w:trPr/>
        <w:tc>
          <w:tcPr>
            <w:tcW w:w="6692"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loss attributable to Kestrel common shareholders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(7,431)</w:t>
            </w:r>
          </w:p>
        </w:tc>
        <w:tc>
          <w:tcPr>
            <w:tcW w:w="12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12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i/>
                <w:color w:val="000000"/>
                <w:sz w:val="20"/>
              </w:rPr>
            </w:pPr>
            <w:r>
              <w:rPr>
                <w:rFonts w:ascii="Times New Roman;serif" w:hAnsi="Times New Roman;serif"/>
                <w:b w:val="false"/>
                <w:i/>
                <w:color w:val="000000"/>
                <w:sz w:val="20"/>
              </w:rPr>
              <w:t>Add (subtract):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investment gains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w:t>
            </w:r>
          </w:p>
        </w:tc>
        <w:tc>
          <w:tcPr>
            <w:tcW w:w="12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Foreign exchange and other gains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w:t>
            </w:r>
          </w:p>
        </w:tc>
        <w:tc>
          <w:tcPr>
            <w:tcW w:w="12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 loss of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Net loss from discontinued operations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2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severance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35"/>
              <w:jc w:val="left"/>
              <w:rPr>
                <w:sz w:val="4"/>
                <w:szCs w:val="4"/>
              </w:rPr>
            </w:pPr>
            <w:r>
              <w:rPr>
                <w:sz w:val="4"/>
                <w:szCs w:val="4"/>
              </w:rPr>
            </w:r>
          </w:p>
        </w:tc>
      </w:tr>
      <w:tr>
        <w:trPr/>
        <w:tc>
          <w:tcPr>
            <w:tcW w:w="6692"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incurred due to the Combination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w:t>
            </w:r>
          </w:p>
        </w:tc>
        <w:tc>
          <w:tcPr>
            <w:tcW w:w="12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Non-GAAP 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(10,354)</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loss per share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Add (subtract):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investment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92"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Amortization of intangible assets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2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35"/>
              <w:jc w:val="left"/>
              <w:rPr>
                <w:sz w:val="4"/>
                <w:szCs w:val="4"/>
              </w:rPr>
            </w:pPr>
            <w:r>
              <w:rPr>
                <w:sz w:val="4"/>
                <w:szCs w:val="4"/>
              </w:rPr>
            </w:r>
          </w:p>
        </w:tc>
      </w:tr>
      <w:tr>
        <w:trPr/>
        <w:tc>
          <w:tcPr>
            <w:tcW w:w="6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and other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Net loss from discontinued operations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2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35"/>
              <w:jc w:val="left"/>
              <w:rPr>
                <w:sz w:val="4"/>
                <w:szCs w:val="4"/>
              </w:rPr>
            </w:pPr>
            <w:r>
              <w:rPr>
                <w:sz w:val="4"/>
                <w:szCs w:val="4"/>
              </w:rPr>
            </w:r>
          </w:p>
        </w:tc>
      </w:tr>
      <w:tr>
        <w:trPr/>
        <w:tc>
          <w:tcPr>
            <w:tcW w:w="6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incurred due to the Combination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color w:val="000000"/>
                <w:sz w:val="20"/>
              </w:rPr>
              <w:t>Non-GAAP</w:t>
            </w:r>
            <w:r>
              <w:rPr>
                <w:color w:val="000000"/>
              </w:rPr>
              <w:t xml:space="preserve"> </w:t>
            </w:r>
            <w:r>
              <w:rPr>
                <w:rFonts w:ascii="Times New Roman;serif" w:hAnsi="Times New Roman;serif"/>
                <w:b/>
                <w:color w:val="000000"/>
                <w:sz w:val="20"/>
              </w:rPr>
              <w:t>diluted operating loss per share attributable to common shareholders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2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2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40" w:before="120" w:after="120"/>
        <w:ind w:left="0" w:right="0" w:firstLine="270"/>
        <w:jc w:val="both"/>
        <w:rPr/>
      </w:pPr>
      <w:r>
        <w:rPr>
          <w:rFonts w:ascii="Times New Roman;serif" w:hAnsi="Times New Roman;serif"/>
          <w:b w:val="false"/>
          <w:i/>
          <w:color w:val="000000"/>
          <w:sz w:val="20"/>
        </w:rPr>
        <w:t>Non-GAAP Operating Return on Average Common Equity</w:t>
      </w:r>
      <w:r>
        <w:rPr>
          <w:color w:val="000000"/>
        </w:rPr>
        <w:t xml:space="preserve"> </w:t>
      </w:r>
      <w:r>
        <w:rPr>
          <w:rFonts w:ascii="Times New Roman;serif" w:hAnsi="Times New Roman;serif"/>
          <w:b w:val="false"/>
          <w:color w:val="000000"/>
          <w:sz w:val="20"/>
        </w:rPr>
        <w:t>("Non-GAAP Operating ROACE"): Management uses non-GAAP operating return on average common shareholders' equity as a measure of profitability that focuses on the return to common shareholders. It is calculated using non-GAAP operating income or loss available to common shareholders (as defined above) divided by average common shareholders' equity. Non-GAAP Operating ROACE for the three months ended March 31, 2026 and 2025 was as follows:</w:t>
      </w:r>
    </w:p>
    <w:tbl>
      <w:tblPr>
        <w:tblW w:w="8177" w:type="dxa"/>
        <w:jc w:val="left"/>
        <w:tblInd w:w="0" w:type="dxa"/>
        <w:tblLayout w:type="fixed"/>
        <w:tblCellMar>
          <w:top w:w="28" w:type="dxa"/>
          <w:left w:w="28" w:type="dxa"/>
          <w:bottom w:w="28" w:type="dxa"/>
          <w:right w:w="28" w:type="dxa"/>
        </w:tblCellMar>
      </w:tblPr>
      <w:tblGrid>
        <w:gridCol w:w="1180"/>
        <w:gridCol w:w="1036"/>
        <w:gridCol w:w="1038"/>
        <w:gridCol w:w="109"/>
        <w:gridCol w:w="109"/>
        <w:gridCol w:w="109"/>
        <w:gridCol w:w="109"/>
        <w:gridCol w:w="109"/>
        <w:gridCol w:w="217"/>
        <w:gridCol w:w="217"/>
        <w:gridCol w:w="421"/>
        <w:gridCol w:w="1588"/>
        <w:gridCol w:w="540"/>
        <w:gridCol w:w="109"/>
        <w:gridCol w:w="109"/>
        <w:gridCol w:w="109"/>
        <w:gridCol w:w="211"/>
        <w:gridCol w:w="541"/>
        <w:gridCol w:w="316"/>
      </w:tblGrid>
      <w:tr>
        <w:trPr/>
        <w:tc>
          <w:tcPr>
            <w:tcW w:w="118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395" w:type="dxa"/>
            <w:gridSpan w:val="6"/>
            <w:tcBorders/>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5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Non-GAAP operating loss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(10,354)</w:t>
            </w:r>
          </w:p>
        </w:tc>
        <w:tc>
          <w:tcPr>
            <w:tcW w:w="54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31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Opening adjusted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128,284 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25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adjusted shareholders’ equity</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00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121,437 </w:t>
            </w:r>
          </w:p>
        </w:tc>
        <w:tc>
          <w:tcPr>
            <w:tcW w:w="54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4,227 </w:t>
            </w:r>
          </w:p>
        </w:tc>
        <w:tc>
          <w:tcPr>
            <w:tcW w:w="316"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adjusted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124,861 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Non-GAAP Operating ROACE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00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540"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31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40" w:after="20"/>
        <w:ind w:left="0" w:right="0" w:firstLine="270"/>
        <w:jc w:val="left"/>
        <w:rPr/>
      </w:pPr>
      <w:r>
        <w:rPr/>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40" w:before="200" w:after="120"/>
        <w:jc w:val="left"/>
        <w:rPr>
          <w:rFonts w:ascii="Times New Roman;serif" w:hAnsi="Times New Roman;serif"/>
          <w:b/>
          <w:color w:val="000000"/>
          <w:sz w:val="20"/>
        </w:rPr>
      </w:pPr>
      <w:r>
        <w:rPr>
          <w:rFonts w:ascii="Times New Roman;serif" w:hAnsi="Times New Roman;serif"/>
          <w:b/>
          <w:color w:val="000000"/>
          <w:sz w:val="20"/>
        </w:rPr>
        <w:t xml:space="preserve">Currency and Foreign Exchange </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We conduct business in a variety of foreign (non-U.S.) currencies, exclusively in our Legacy Reinsurance segment, the principal exposures being the euro and the British pound. Assets and liabilities denominated in foreign currencies are exposed to changes in currency exchange rates. Our reporting currency is the U.S. dollar, and exchange rate fluctuations relative to the U.S. dollar may materially impact our results and financial position. Our principal exposure to foreign currency risk is our obligation to settle claims in foreign currencies. In addition, in order to minimize this risk, we maintain and expect to continue to maintain a portion of our investment portfolio in investments denominated in currencies other than the U.S. dollar. We may employ various strategies (including hedging) to manage our exposure to foreign currency exchange risk. To the extent that these exposures are not fully hedged or the hedges are ineffective, our results of operations or equity may be adversely affected.</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At March 31, 2026, no such hedges or hedging strategies were in force or had been entered into. We measure monetary assets and liabilities denominated in foreign currencies at period end exchange rates, with the resulting foreign exchange gains and losses recognized in the unaudited Condensed Consolidated Statements of Operations. Revenues and expenses in foreign currencies are converted at average exchange rates during the period. The effect of the translation adjustments for foreign operations is included in AOCI.</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Net foreign exchange gains of $2.0 million were generated during the three months ended March 31, 2026, compared to net foreign exchange losses of $0.0 million for the three months ended March 31, 2025. For the three months ended March 31, 2026, net foreign exchange gains of $2.0 million were attributable to appreciation of the U.S. dollar on the re-measurement of net loss reserves and insurance related liabilities denominated in the British pound and euro. The foreign exchange gains for the three months ended March 31, 2026 were primarily unrealized and resulted from the effects of revaluation of our net insurance liabilities that are required to be remeasured in foreign currencies at each balance sheet date.</w:t>
      </w:r>
    </w:p>
    <w:p>
      <w:pPr>
        <w:pStyle w:val="TextBody"/>
        <w:bidi w:val="0"/>
        <w:spacing w:lineRule="auto" w:line="240" w:before="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At March 31, 2026, the increase in foreign currency translation adjustments of $0.2 million for the three months ended March 31, 2026 was primarily driven by exposures to euro, British pound and other non-USD denominated net loss reserves and insurance related liabilities in excess of foreign currency assets. Our non-USD denominated liabilities at March 31, 2026 included reserve for net loss and LAE on our Legacy Reinsurance segment of $254.4 million. Our foreign currency asset exposures at March 31, 2026 include $97.4 million of fixed maturity securities managed by our investment managers who have the discretion to hold foreign currency exposures as part of their total return strategy, $33.5 million of real estate investments denominated in Canadian dollars, as well as $7.4 million of funds withheld receivable based in various non-USD currencies.</w:t>
      </w:r>
    </w:p>
    <w:p>
      <w:pPr>
        <w:pStyle w:val="TextBody"/>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Effects of Inflation</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anticipated effects of inflation are considered explicitly in the pricing of the insured exposures, which are used as the initial estimates of reserves for loss and LAE. In addition, inflation is also implicitly accounted for in subsequent estimates of loss and LAE reserves, as the expected rate of emergence is in part predicated upon the historical levels of inflation that impact ultimate claim costs. To the extent inflation causes these costs, particularly medical treatments and litigation costs, to vary from the assumptions made in the pricing or reserving estimates, the Company will be required to change the reserve for loss and LAE with a corresponding change in its earnings in the period in which the variance is identified. The actual effects of inflation on the results of operations of the Company cannot be accurately known until claims are ultimately settled.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continue to monitor inflationary impacts resulting from ongoing government deficits, fluctuations in demand and labor force along with supply chain and technological disruptions, among other factors, on our loss cost trends. Our reserves predominantly consist of workers’ compensation, general liability, and hospital liability business. These long tailed lines of business have been subject to the longer term trend of social inflation, but we have not observed significant impacts for the recently elevated levels of inflation. We proactively analyze available data and we incorporate trends into our loss reserving assumptions to ensure we are considerate of current and future economic conditions.</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Governmental policy responses to inflation have increased interest rates in recent years which, in the short term, have contributed to unrealized gains on our fixed income investments, particularly on our fixed maturity securities. While general economic inflation has eased in recent quarters, persistently higher than target core inflation combined with geopolitical volatility have magnified the uncertainty around the rate and direction of inflation and interest rates and we continue to monitor our liquidity, capital and potential earnings impact of these changes but remain focused on our asset allocation decisions as described in our </w:t>
      </w:r>
      <w:r>
        <w:rPr>
          <w:rFonts w:ascii="Times New Roman;serif" w:hAnsi="Times New Roman;serif"/>
          <w:b w:val="false"/>
          <w:i/>
          <w:color w:val="000000"/>
          <w:sz w:val="20"/>
        </w:rPr>
        <w:t>"Business Strategy"</w:t>
      </w:r>
      <w:r>
        <w:rPr>
          <w:color w:val="000000"/>
        </w:rPr>
        <w:t xml:space="preserve"> </w:t>
      </w:r>
      <w:r>
        <w:rPr>
          <w:rFonts w:ascii="Times New Roman;serif" w:hAnsi="Times New Roman;serif"/>
          <w:b w:val="false"/>
          <w:color w:val="000000"/>
          <w:sz w:val="20"/>
        </w:rPr>
        <w:t>section of Item 2. "</w:t>
      </w:r>
      <w:r>
        <w:rPr>
          <w:rFonts w:ascii="Times New Roman;serif" w:hAnsi="Times New Roman;serif"/>
          <w:b w:val="false"/>
          <w:i/>
          <w:color w:val="000000"/>
          <w:sz w:val="20"/>
        </w:rPr>
        <w:t>Management’s Discussion and Analysis of Financial Condition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Results of Operations - Overview</w:t>
      </w:r>
      <w:r>
        <w:rPr>
          <w:rFonts w:ascii="Times New Roman;serif" w:hAnsi="Times New Roman;serif"/>
          <w:b w:val="false"/>
          <w:color w:val="000000"/>
          <w:sz w:val="20"/>
        </w:rPr>
        <w:t xml:space="preserve">". </w:t>
      </w:r>
    </w:p>
    <w:p>
      <w:pPr>
        <w:pStyle w:val="TextBody"/>
        <w:bidi w:val="0"/>
        <w:spacing w:lineRule="auto" w:line="240" w:before="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Inflation may also result in increased wage pressures for our operating expenses, as we remain focused on being a competitive employer in our market. Continuing inflation and tight labor conditions could have a material impact on our net operating results.</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40" w:before="0" w:after="18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 xml:space="preserve">At March 31, 2026, we did not have any off-balance sheet arrangements as defined by Item 303(a) (4) of Regulation S-K. </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40" w:before="0" w:after="120"/>
        <w:ind w:left="0" w:right="0" w:firstLine="180"/>
        <w:jc w:val="both"/>
        <w:rPr/>
      </w:pPr>
      <w:r>
        <w:rPr>
          <w:rFonts w:ascii="Times New Roman;serif" w:hAnsi="Times New Roman;serif"/>
          <w:b w:val="false"/>
          <w:color w:val="000000"/>
          <w:sz w:val="20"/>
        </w:rPr>
        <w:t>See "</w:t>
      </w:r>
      <w:r>
        <w:rPr>
          <w:rFonts w:ascii="Times New Roman;serif" w:hAnsi="Times New Roman;serif"/>
          <w:b w:val="false"/>
          <w:i/>
          <w:color w:val="000000"/>
          <w:sz w:val="20"/>
        </w:rPr>
        <w:t>Part I, Item 1 - Notes to Condensed Consolidated Financial Statements (unaudited) Note 2. Significant Accounting Policies</w:t>
      </w:r>
      <w:r>
        <w:rPr>
          <w:rFonts w:ascii="Times New Roman;serif" w:hAnsi="Times New Roman;serif"/>
          <w:b w:val="false"/>
          <w:color w:val="000000"/>
          <w:sz w:val="20"/>
        </w:rPr>
        <w:t>" for a discussion on recently adopted accounting pronouncements.</w:t>
      </w:r>
    </w:p>
    <w:p>
      <w:pPr>
        <w:pStyle w:val="TextBody"/>
        <w:bidi w:val="0"/>
        <w:spacing w:before="0" w:after="12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40" w:before="120" w:after="12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 xml:space="preserve">Evaluation of Disclosure Controls and Procedures </w:t>
      </w:r>
    </w:p>
    <w:p>
      <w:pPr>
        <w:pStyle w:val="TextBody"/>
        <w:bidi w:val="0"/>
        <w:spacing w:lineRule="auto" w:line="228" w:before="0" w:after="120"/>
        <w:ind w:left="0" w:right="0" w:firstLine="270"/>
        <w:jc w:val="both"/>
        <w:rPr>
          <w:color w:val="000000"/>
        </w:rPr>
      </w:pPr>
      <w:r>
        <w:rPr>
          <w:color w:val="000000"/>
        </w:rPr>
        <w:t> </w:t>
      </w:r>
      <w:r>
        <w:rPr>
          <w:rFonts w:ascii="Times New Roman;serif" w:hAnsi="Times New Roman;serif"/>
          <w:b w:val="false"/>
          <w:color w:val="000000"/>
          <w:sz w:val="20"/>
        </w:rPr>
        <w:t xml:space="preserve">Our management, with the participation of our Principal Executive Officer and Principal Financial Officer, have evaluated the Company's disclosure controls and procedures (as defined in Rules 13a-15(e) and 15d-15(e) of the Securities Exchange Act of 1934, as amended (the “Exchange Act”)). Disclosure controls and procedures are designed to ensure that information required to be disclosed in reports filed or submitted under the Exchange Act is recorded, processed, summarized and reported within the time periods specified by SEC rules and forms and that such information is accumulated and communicated to management, including our Principal Executive Officer and Principal Financial Officer, to allow for timely decisions regarding required disclosures.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Based on that evaluation, the Principal Executive Officer and Principal Financial Officer have concluded that the Company’s disclosure controls and procedures were effective as of the end of March 31, 2026 covered by this Quarterly Report on Form 10-Q.</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 xml:space="preserve">Changes in Internal Control Over Financial Reporting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No changes were made in our internal controls over financial reporting, as such term is defined in Exchange Act Rules 13a-15(f) and 15(d) – 15(f), during the first quarter ended March 31, 2026 that have materially affected, or are reasonably likely to materially affect, our internal control over financial reporting. </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Limitations on Effectiveness of Controls and Procedures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Principal Executive Officer and Principal Financial Officer, does not expect that our disclosure controls and procedures or our internal control over financial reporting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an absolute assurance that all control issues and instances of fraud, if any, within our Company have been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20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40" w:before="0" w:after="120"/>
        <w:ind w:left="0" w:right="0" w:firstLine="270"/>
        <w:jc w:val="both"/>
        <w:rPr/>
      </w:pPr>
      <w:r>
        <w:rPr>
          <w:rFonts w:ascii="Times New Roman;serif" w:hAnsi="Times New Roman;serif"/>
          <w:b w:val="false"/>
          <w:color w:val="000000"/>
          <w:sz w:val="20"/>
        </w:rPr>
        <w:t>See "</w:t>
      </w:r>
      <w:r>
        <w:rPr>
          <w:rFonts w:ascii="Times New Roman;serif" w:hAnsi="Times New Roman;serif"/>
          <w:b w:val="false"/>
          <w:i/>
          <w:color w:val="000000"/>
          <w:sz w:val="20"/>
        </w:rPr>
        <w:t>Part I, Item 1 - Notes to Condensed Consolidated Financial Statements (unaudited) Note 11. Commitments and Contingencies</w:t>
      </w:r>
      <w:r>
        <w:rPr>
          <w:rFonts w:ascii="Times New Roman;serif" w:hAnsi="Times New Roman;serif"/>
          <w:b w:val="false"/>
          <w:color w:val="000000"/>
          <w:sz w:val="20"/>
        </w:rPr>
        <w:t xml:space="preserve">" for an update on legal matters. Except as disclosed above, there are no material changes from the legal proceedings previously disclosed in our Annual Report on Form 10-K for the year ended December 31, 2025. </w:t>
      </w:r>
    </w:p>
    <w:p>
      <w:pPr>
        <w:pStyle w:val="TextBody"/>
        <w:bidi w:val="0"/>
        <w:spacing w:before="0" w:after="12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12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a number of risks, including those identified in Item 1A. of Part I of our Annual Report on Form 10-K for the year ended December 31, 2025, that could have a material adverse effect on our business, results of operations, financial condition and/or liquidity and that could cause our operating results to vary significantly from period to period. The risks described in our Annual Report on Form 10-K for the year ended December 31, 2025 are not the only risks we face. Additional risks and uncertainties not currently known to us or that we currently deem to be immaterial also could have a material adverse effect on our business, results of operations, financial condition and/or liquidity.</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There are no material changes from the risk factors previously disclosed under </w:t>
      </w:r>
      <w:r>
        <w:rPr>
          <w:rFonts w:ascii="Times New Roman;serif" w:hAnsi="Times New Roman;serif"/>
          <w:b w:val="false"/>
          <w:i/>
          <w:color w:val="000000"/>
          <w:sz w:val="20"/>
        </w:rPr>
        <w:t>Part I, Item 1A. Risk Factors</w:t>
      </w:r>
      <w:r>
        <w:rPr>
          <w:color w:val="000000"/>
        </w:rPr>
        <w:t xml:space="preserve"> </w:t>
      </w:r>
      <w:r>
        <w:rPr>
          <w:rFonts w:ascii="Times New Roman;serif" w:hAnsi="Times New Roman;serif"/>
          <w:b w:val="false"/>
          <w:color w:val="000000"/>
          <w:sz w:val="20"/>
        </w:rPr>
        <w:t>in the Company’s Annual Report on Form 10-K for the year ended December 31, 2025, which is on file with the SEC. Additional risks and uncertainties not presently known to Maiden, Kestrel or Kestrel Group or that are not currently believed to be important also may adversely affect Kestrel Group.</w:t>
      </w:r>
    </w:p>
    <w:p>
      <w:pPr>
        <w:pStyle w:val="TextBody"/>
        <w:bidi w:val="0"/>
        <w:spacing w:before="0" w:after="0"/>
        <w:jc w:val="both"/>
        <w:rPr/>
      </w:pPr>
      <w:r>
        <w:rPr/>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40" w:before="200" w:after="120"/>
        <w:jc w:val="both"/>
        <w:rPr>
          <w:rFonts w:ascii="Times New Roman;serif" w:hAnsi="Times New Roman;serif"/>
          <w:b/>
          <w:color w:val="000000"/>
          <w:sz w:val="20"/>
        </w:rPr>
      </w:pPr>
      <w:r>
        <w:rPr>
          <w:rFonts w:ascii="Times New Roman;serif" w:hAnsi="Times New Roman;serif"/>
          <w:b/>
          <w:color w:val="000000"/>
          <w:sz w:val="20"/>
        </w:rPr>
        <w:t>Item 2. Unregistered Sales of Equity and Use of Proceeds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Items 2. (a) and (b) are not applicable.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2. (c) Share Repurchases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table below details common share repurchases made during the three months ended March 31, 2026:</w:t>
      </w:r>
    </w:p>
    <w:tbl>
      <w:tblPr>
        <w:tblW w:w="10205" w:type="dxa"/>
        <w:jc w:val="left"/>
        <w:tblInd w:w="0" w:type="dxa"/>
        <w:tblLayout w:type="fixed"/>
        <w:tblCellMar>
          <w:top w:w="28" w:type="dxa"/>
          <w:left w:w="28" w:type="dxa"/>
          <w:bottom w:w="28" w:type="dxa"/>
          <w:right w:w="28" w:type="dxa"/>
        </w:tblCellMar>
      </w:tblPr>
      <w:tblGrid>
        <w:gridCol w:w="747"/>
        <w:gridCol w:w="485"/>
        <w:gridCol w:w="489"/>
        <w:gridCol w:w="109"/>
        <w:gridCol w:w="109"/>
        <w:gridCol w:w="109"/>
        <w:gridCol w:w="552"/>
        <w:gridCol w:w="511"/>
        <w:gridCol w:w="512"/>
        <w:gridCol w:w="109"/>
        <w:gridCol w:w="109"/>
        <w:gridCol w:w="109"/>
        <w:gridCol w:w="301"/>
        <w:gridCol w:w="879"/>
        <w:gridCol w:w="155"/>
        <w:gridCol w:w="109"/>
        <w:gridCol w:w="109"/>
        <w:gridCol w:w="109"/>
        <w:gridCol w:w="846"/>
        <w:gridCol w:w="846"/>
        <w:gridCol w:w="849"/>
        <w:gridCol w:w="109"/>
        <w:gridCol w:w="109"/>
        <w:gridCol w:w="109"/>
        <w:gridCol w:w="483"/>
        <w:gridCol w:w="895"/>
        <w:gridCol w:w="347"/>
      </w:tblGrid>
      <w:tr>
        <w:trPr/>
        <w:tc>
          <w:tcPr>
            <w:tcW w:w="747"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1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 amount still available under trading plan</w:t>
            </w:r>
          </w:p>
        </w:tc>
      </w:tr>
      <w:tr>
        <w:trPr/>
        <w:tc>
          <w:tcPr>
            <w:tcW w:w="1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 thousands)</w:t>
            </w:r>
          </w:p>
        </w:tc>
      </w:tr>
      <w:tr>
        <w:trPr/>
        <w:tc>
          <w:tcPr>
            <w:tcW w:w="172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2026 - January 31, 2026</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 2026 - February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 2026 - March 31, 2026</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47,036 </w:t>
            </w:r>
          </w:p>
        </w:tc>
        <w:tc>
          <w:tcPr>
            <w:tcW w:w="51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5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47,036 </w:t>
            </w:r>
          </w:p>
        </w:tc>
        <w:tc>
          <w:tcPr>
            <w:tcW w:w="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repurchased 47,036 common shares at an average price of $10.32 per share from employees, which represent tax withholding in respect of tax obligations on the vesting of non-performance-based restricted shares.</w:t>
      </w:r>
    </w:p>
    <w:p>
      <w:pPr>
        <w:pStyle w:val="TextBody"/>
        <w:bidi w:val="0"/>
        <w:spacing w:lineRule="auto" w:line="240" w:before="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Subsequent to the three months ended March 31, 2026 and through the period ended May 8, 2026, the Company did not repurchase any common shares.</w:t>
      </w:r>
    </w:p>
    <w:p>
      <w:pPr>
        <w:pStyle w:val="TextBody"/>
        <w:bidi w:val="0"/>
        <w:spacing w:before="0" w:after="18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12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270"/>
        <w:jc w:val="both"/>
        <w:rPr/>
      </w:pPr>
      <w:r>
        <w:rPr/>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12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40" w:before="120" w:after="12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40" w:before="120" w:after="120"/>
        <w:jc w:val="both"/>
        <w:rPr/>
      </w:pPr>
      <w:r>
        <w:rPr>
          <w:rFonts w:ascii="Times New Roman;serif" w:hAnsi="Times New Roman;serif"/>
          <w:b w:val="false"/>
          <w:color w:val="000000"/>
          <w:sz w:val="20"/>
          <w:u w:val="single"/>
        </w:rPr>
        <w:t>Executive Ownership and Sales</w:t>
      </w:r>
      <w:r>
        <w:rPr>
          <w:color w:val="000000"/>
        </w:rPr>
        <w:t xml:space="preserve"> </w:t>
      </w:r>
    </w:p>
    <w:p>
      <w:pPr>
        <w:pStyle w:val="TextBody"/>
        <w:bidi w:val="0"/>
        <w:spacing w:lineRule="auto" w:line="240" w:before="0" w:after="12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From time to time, some of the Company’s directors and executives may determine that it is advisable to diversify their investments for personal financial planning reasons, or may seek liquidity for other reasons, and may sell common shares of the Company in the open market, in private transactions or to the Company. To effect such sales, some of the Company’s directors and executives have previously entered into, and may in the future enter into, trading plans designed to comply with the Company’s Insider Trading and Outside Investments Policy and the provisions of Rule 10b5-1 under the Securities Exchange Act of 1934. The trading plans will not reduce any of the executives’ ownership of the Company’s shares below the applicable executive stock ownership guidelines. The Company does not undertake any obligation to report Rule 10b5-1 plans that may be adopted by any employee or director of the Company in the future, or to report any modifications or termination of any publicly announced plan.</w:t>
      </w:r>
    </w:p>
    <w:p>
      <w:pPr>
        <w:pStyle w:val="TextBody"/>
        <w:bidi w:val="0"/>
        <w:spacing w:lineRule="auto" w:line="240" w:before="0" w:after="120"/>
        <w:ind w:left="0" w:right="0" w:firstLine="180"/>
        <w:jc w:val="both"/>
        <w:rPr/>
      </w:pPr>
      <w:r>
        <w:rPr>
          <w:rFonts w:ascii="Times New Roman;serif" w:hAnsi="Times New Roman;serif"/>
          <w:b w:val="false"/>
          <w:color w:val="000000"/>
          <w:sz w:val="20"/>
        </w:rPr>
        <w:t xml:space="preserve">During the three months ended March 31, 2026, none of our directors or executive officers adopted or terminated a Rule 10b5-1 trading arrangement (as defined in Item 408(a)(1)(i) of Regulation S-K) or adopted or terminated a non-Rule 10b5-1 trading arrangement (as defined in Item 408(c) of Regulation </w:t>
      </w:r>
      <w:r>
        <w:rPr>
          <w:rFonts w:ascii="Times New Roman;serif" w:hAnsi="Times New Roman;serif"/>
          <w:b w:val="false"/>
          <w:color w:val="000000"/>
          <w:sz w:val="20"/>
          <w:u w:val="single"/>
        </w:rPr>
        <w:t>S-K).</w:t>
      </w:r>
    </w:p>
    <w:p>
      <w:pPr>
        <w:pStyle w:val="TextBody"/>
        <w:bidi w:val="0"/>
        <w:spacing w:before="0" w:after="12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EXHIBIT INDEX </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37"/>
        <w:gridCol w:w="207"/>
        <w:gridCol w:w="209"/>
        <w:gridCol w:w="109"/>
        <w:gridCol w:w="109"/>
        <w:gridCol w:w="109"/>
        <w:gridCol w:w="2942"/>
        <w:gridCol w:w="2942"/>
        <w:gridCol w:w="2967"/>
        <w:gridCol w:w="109"/>
        <w:gridCol w:w="109"/>
        <w:gridCol w:w="156"/>
      </w:tblGrid>
      <w:tr>
        <w:trPr/>
        <w:tc>
          <w:tcPr>
            <w:tcW w:w="2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c>
          <w:tcPr>
            <w:tcW w:w="2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Exhibit </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both"/>
              <w:rPr/>
            </w:pPr>
            <w:hyperlink w:anchor="q12026exhibit311.htm">
              <w:r>
                <w:rPr>
                  <w:rStyle w:val="InternetLink"/>
                  <w:rFonts w:ascii="Times New Roman;serif" w:hAnsi="Times New Roman;serif"/>
                  <w:b w:val="false"/>
                  <w:color w:val="0000FF"/>
                  <w:sz w:val="20"/>
                  <w:u w:val="single"/>
                </w:rPr>
                <w:t>Certification of Chief Executive Officer pursuant to Section 302 of the Sarbanes-Oxley Act of 2002 (filed herewith).</w:t>
              </w:r>
            </w:hyperlink>
          </w:p>
        </w:tc>
        <w:tc>
          <w:tcPr>
            <w:tcW w:w="374"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both"/>
              <w:rPr/>
            </w:pPr>
            <w:hyperlink w:anchor="q12026exhibit312.htm">
              <w:r>
                <w:rPr>
                  <w:rStyle w:val="InternetLink"/>
                  <w:rFonts w:ascii="Times New Roman;serif" w:hAnsi="Times New Roman;serif"/>
                  <w:b w:val="false"/>
                  <w:color w:val="0000FF"/>
                  <w:sz w:val="20"/>
                  <w:u w:val="single"/>
                </w:rPr>
                <w:t>Certification of Chief Financial Officer pursuant to Section 302 of the Sarbanes-Oxley Act of 2002 (filed herewith).</w:t>
              </w:r>
            </w:hyperlink>
          </w:p>
        </w:tc>
        <w:tc>
          <w:tcPr>
            <w:tcW w:w="374"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both"/>
              <w:rPr/>
            </w:pPr>
            <w:hyperlink w:anchor="q12026exhibit321.htm">
              <w:r>
                <w:rPr>
                  <w:rStyle w:val="InternetLink"/>
                  <w:rFonts w:ascii="Times New Roman;serif" w:hAnsi="Times New Roman;serif"/>
                  <w:b w:val="false"/>
                  <w:color w:val="0000FF"/>
                  <w:sz w:val="20"/>
                  <w:u w:val="single"/>
                </w:rPr>
                <w:t>Certification of Chief Executive Officer pursuant to Section 906 of the Sarbanes-Oxley Act of 2002 (filed herewith).</w:t>
              </w:r>
            </w:hyperlink>
          </w:p>
        </w:tc>
        <w:tc>
          <w:tcPr>
            <w:tcW w:w="374"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both"/>
              <w:rPr/>
            </w:pPr>
            <w:hyperlink w:anchor="q12026exhibit322.htm">
              <w:r>
                <w:rPr>
                  <w:rStyle w:val="InternetLink"/>
                  <w:rFonts w:ascii="Times New Roman;serif" w:hAnsi="Times New Roman;serif"/>
                  <w:b w:val="false"/>
                  <w:color w:val="0000FF"/>
                  <w:sz w:val="20"/>
                  <w:u w:val="single"/>
                </w:rPr>
                <w:t xml:space="preserve">Certification of Chief Financial Officer pursuant to Section 906 of the Sarbanes-Oxley Act of 2002 (filed herewith). </w:t>
              </w:r>
            </w:hyperlink>
          </w:p>
        </w:tc>
        <w:tc>
          <w:tcPr>
            <w:tcW w:w="374"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materials from Kestrel Group Ltd Quarterly Report on Form 10-Q for the quarter ended March 31, 2026 formatted in Inline XBRL: (i) unaudited Condensed Consolidated Balance Sheets; (ii) unaudited Condensed Consolidated Statements of Operations; (iii) unaudited Condensed Consolidated Statements of Comprehensive Income; (iv) unaudited Condensed Consolidated Statements of Changes in Shareholders' Equity; (v) unaudited Condensed Consolidated Statements of Cash Flows; and (vi) Notes to unaudited Condensed Consolidated Financial Statements.</w:t>
            </w:r>
          </w:p>
        </w:tc>
        <w:tc>
          <w:tcPr>
            <w:tcW w:w="374"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104.0</w:t>
            </w:r>
          </w:p>
        </w:tc>
        <w:tc>
          <w:tcPr>
            <w:tcW w:w="32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in Inline XBRL and contained in Exhibit 101)</w:t>
            </w:r>
          </w:p>
        </w:tc>
        <w:tc>
          <w:tcPr>
            <w:tcW w:w="374"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40" w:before="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270"/>
        <w:jc w:val="left"/>
        <w:rPr/>
      </w:pPr>
      <w:r>
        <w:rPr/>
      </w:r>
    </w:p>
    <w:tbl>
      <w:tblPr>
        <w:tblW w:w="7599" w:type="dxa"/>
        <w:jc w:val="left"/>
        <w:tblInd w:w="0" w:type="dxa"/>
        <w:tblLayout w:type="fixed"/>
        <w:tblCellMar>
          <w:top w:w="28" w:type="dxa"/>
          <w:left w:w="28" w:type="dxa"/>
          <w:bottom w:w="28" w:type="dxa"/>
          <w:right w:w="28" w:type="dxa"/>
        </w:tblCellMar>
      </w:tblPr>
      <w:tblGrid>
        <w:gridCol w:w="417"/>
        <w:gridCol w:w="368"/>
        <w:gridCol w:w="370"/>
        <w:gridCol w:w="328"/>
        <w:gridCol w:w="328"/>
        <w:gridCol w:w="328"/>
        <w:gridCol w:w="1583"/>
        <w:gridCol w:w="1583"/>
        <w:gridCol w:w="2294"/>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KESTREL GROUP LTD</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8, 2026</w:t>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Bradford Luke Ledbetter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Bradford Luke Ledbetter</w:t>
              <w:br/>
              <w:t>Chief Executive Officer (Principal Executive Officer)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Patrick J. Haveron</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Patrick J. Haveron</w:t>
              <w:br/>
              <w:t>President and Chief Financial Officer (Principal Financial Officer)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5460"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54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ind w:left="0" w:right="0" w:firstLine="27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both"/>
        <w:rPr>
          <w:color w:val="000000"/>
        </w:rPr>
      </w:pPr>
      <w:r>
        <w:rPr>
          <w:color w:val="000000"/>
        </w:rPr>
        <w:t>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 Bradford Luke Ledbetter, certify that:</w:t>
      </w:r>
    </w:p>
    <w:p>
      <w:pPr>
        <w:pStyle w:val="TextBody"/>
        <w:bidi w:val="0"/>
        <w:spacing w:before="0" w:after="0"/>
        <w:ind w:left="0" w:right="0" w:firstLine="270"/>
        <w:jc w:val="left"/>
        <w:rPr/>
      </w:pPr>
      <w:r>
        <w:rPr/>
      </w:r>
    </w:p>
    <w:tbl>
      <w:tblPr>
        <w:tblW w:w="6356" w:type="dxa"/>
        <w:jc w:val="center"/>
        <w:tblInd w:w="0" w:type="dxa"/>
        <w:tblLayout w:type="fixed"/>
        <w:tblCellMar>
          <w:top w:w="28" w:type="dxa"/>
          <w:left w:w="28" w:type="dxa"/>
          <w:bottom w:w="28" w:type="dxa"/>
          <w:right w:w="28" w:type="dxa"/>
        </w:tblCellMar>
      </w:tblPr>
      <w:tblGrid>
        <w:gridCol w:w="124"/>
        <w:gridCol w:w="109"/>
        <w:gridCol w:w="109"/>
        <w:gridCol w:w="1758"/>
        <w:gridCol w:w="1758"/>
        <w:gridCol w:w="24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6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Kestrel Group Ltd;</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any consolidated subsidiaries, is made known to us by others within those entities, particularly during the period in which this report is being prepared;</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center"/>
        <w:rPr/>
      </w:pPr>
      <w:r>
        <w:rPr/>
      </w:r>
    </w:p>
    <w:tbl>
      <w:tblPr>
        <w:tblW w:w="5921" w:type="dxa"/>
        <w:jc w:val="center"/>
        <w:tblInd w:w="0" w:type="dxa"/>
        <w:tblLayout w:type="fixed"/>
        <w:tblCellMar>
          <w:top w:w="28" w:type="dxa"/>
          <w:left w:w="28" w:type="dxa"/>
          <w:bottom w:w="28" w:type="dxa"/>
          <w:right w:w="28" w:type="dxa"/>
        </w:tblCellMar>
      </w:tblPr>
      <w:tblGrid>
        <w:gridCol w:w="417"/>
        <w:gridCol w:w="368"/>
        <w:gridCol w:w="370"/>
        <w:gridCol w:w="109"/>
        <w:gridCol w:w="109"/>
        <w:gridCol w:w="109"/>
        <w:gridCol w:w="691"/>
        <w:gridCol w:w="691"/>
        <w:gridCol w:w="691"/>
        <w:gridCol w:w="691"/>
        <w:gridCol w:w="691"/>
        <w:gridCol w:w="984"/>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Bradford Luke Ledbetter</w:t>
            </w:r>
          </w:p>
        </w:tc>
      </w:tr>
      <w:tr>
        <w:trPr/>
        <w:tc>
          <w:tcPr>
            <w:tcW w:w="1155" w:type="dxa"/>
            <w:gridSpan w:val="3"/>
            <w:tcBorders>
              <w:top w:val="single" w:sz="32"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32"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Bradford Luke Ledbetter</w:t>
              <w:br/>
              <w:t>Chief Executive Officer (Principal Executive Officer)</w:t>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3" w:type="dxa"/>
            <w:gridSpan w:val="3"/>
            <w:tcBorders/>
            <w:vAlign w:val="center"/>
          </w:tcPr>
          <w:p>
            <w:pPr>
              <w:pStyle w:val="TableContents"/>
              <w:bidi w:val="0"/>
              <w:spacing w:before="0" w:after="283"/>
              <w:jc w:val="left"/>
              <w:rPr>
                <w:sz w:val="4"/>
                <w:szCs w:val="4"/>
              </w:rPr>
            </w:pPr>
            <w:r>
              <w:rPr>
                <w:sz w:val="4"/>
                <w:szCs w:val="4"/>
              </w:rPr>
            </w:r>
          </w:p>
        </w:tc>
        <w:tc>
          <w:tcPr>
            <w:tcW w:w="23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Patrick J. Haveron, certify that:</w:t>
      </w:r>
    </w:p>
    <w:p>
      <w:pPr>
        <w:pStyle w:val="TextBody"/>
        <w:bidi w:val="0"/>
        <w:spacing w:before="0" w:after="0"/>
        <w:jc w:val="left"/>
        <w:rPr/>
      </w:pPr>
      <w:r>
        <w:rPr/>
      </w:r>
    </w:p>
    <w:tbl>
      <w:tblPr>
        <w:tblW w:w="6356" w:type="dxa"/>
        <w:jc w:val="center"/>
        <w:tblInd w:w="0" w:type="dxa"/>
        <w:tblLayout w:type="fixed"/>
        <w:tblCellMar>
          <w:top w:w="28" w:type="dxa"/>
          <w:left w:w="28" w:type="dxa"/>
          <w:bottom w:w="28" w:type="dxa"/>
          <w:right w:w="28" w:type="dxa"/>
        </w:tblCellMar>
      </w:tblPr>
      <w:tblGrid>
        <w:gridCol w:w="124"/>
        <w:gridCol w:w="109"/>
        <w:gridCol w:w="109"/>
        <w:gridCol w:w="1758"/>
        <w:gridCol w:w="1758"/>
        <w:gridCol w:w="24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6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Kestrel Group Ltd;</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any consolidated subsidiaries, is made known to us by others within those entities, particularly during the period in which this report is being prepared;</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jc w:val="both"/>
        <w:rPr>
          <w:color w:val="000000"/>
        </w:rPr>
      </w:pPr>
      <w:r>
        <w:rPr>
          <w:color w:val="000000"/>
        </w:rPr>
        <w:t> </w:t>
      </w:r>
    </w:p>
    <w:tbl>
      <w:tblPr>
        <w:tblW w:w="7269" w:type="dxa"/>
        <w:jc w:val="left"/>
        <w:tblInd w:w="0" w:type="dxa"/>
        <w:tblLayout w:type="fixed"/>
        <w:tblCellMar>
          <w:top w:w="28" w:type="dxa"/>
          <w:left w:w="28" w:type="dxa"/>
          <w:bottom w:w="28" w:type="dxa"/>
          <w:right w:w="28" w:type="dxa"/>
        </w:tblCellMar>
      </w:tblPr>
      <w:tblGrid>
        <w:gridCol w:w="417"/>
        <w:gridCol w:w="368"/>
        <w:gridCol w:w="370"/>
        <w:gridCol w:w="109"/>
        <w:gridCol w:w="109"/>
        <w:gridCol w:w="109"/>
        <w:gridCol w:w="1803"/>
        <w:gridCol w:w="1803"/>
        <w:gridCol w:w="1809"/>
        <w:gridCol w:w="109"/>
        <w:gridCol w:w="109"/>
        <w:gridCol w:w="154"/>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Patrick J. Haveron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55" w:type="dxa"/>
            <w:gridSpan w:val="3"/>
            <w:tcBorders>
              <w:top w:val="single" w:sz="32"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32"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Patrick J. Haveron</w:t>
              <w:br/>
              <w:t>President and Chief Financial Officer (Principal Financial Officer)</w:t>
            </w:r>
          </w:p>
        </w:tc>
        <w:tc>
          <w:tcPr>
            <w:tcW w:w="372" w:type="dxa"/>
            <w:gridSpan w:val="3"/>
            <w:tcBorders>
              <w:top w:val="single" w:sz="32"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both"/>
        <w:rPr>
          <w:color w:val="000000"/>
        </w:rPr>
      </w:pPr>
      <w:r>
        <w:rPr>
          <w:color w:val="000000"/>
        </w:rPr>
        <w:t> </w:t>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chapter 63 of title 18, United States Code), the undersigned officer of Kestrel Group Ltd (the “Company”), hereby certifies, to such officer's knowledge, that:</w:t>
      </w:r>
    </w:p>
    <w:p>
      <w:pPr>
        <w:pStyle w:val="TextBody"/>
        <w:bidi w:val="0"/>
        <w:spacing w:lineRule="auto" w:line="240" w:before="0" w:after="0"/>
        <w:ind w:left="0" w:right="0" w:firstLine="270"/>
        <w:jc w:val="both"/>
        <w:rPr>
          <w:color w:val="000000"/>
        </w:rPr>
      </w:pPr>
      <w:r>
        <w:rPr>
          <w:color w:val="000000"/>
        </w:rPr>
        <w:t> </w:t>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Company's Quarterly Report on Form 10-Q for the quarter ended March 31, 2026 (the “Report”) fully complies with the requirements of Section 13(a) or 15(d) of the Securities Exchange Act of 1934 and the information contained in the Report fairly presents, in all material respects, the financial condition and results of operations of the Company.</w:t>
      </w:r>
    </w:p>
    <w:p>
      <w:pPr>
        <w:pStyle w:val="TextBody"/>
        <w:bidi w:val="0"/>
        <w:spacing w:lineRule="auto" w:line="288" w:before="0" w:after="0"/>
        <w:jc w:val="both"/>
        <w:rPr>
          <w:color w:val="000000"/>
        </w:rPr>
      </w:pPr>
      <w:r>
        <w:rPr>
          <w:color w:val="000000"/>
        </w:rPr>
        <w:t> </w:t>
      </w:r>
    </w:p>
    <w:tbl>
      <w:tblPr>
        <w:tblW w:w="6088" w:type="dxa"/>
        <w:jc w:val="left"/>
        <w:tblInd w:w="0" w:type="dxa"/>
        <w:tblLayout w:type="fixed"/>
        <w:tblCellMar>
          <w:top w:w="28" w:type="dxa"/>
          <w:left w:w="28" w:type="dxa"/>
          <w:bottom w:w="28" w:type="dxa"/>
          <w:right w:w="28" w:type="dxa"/>
        </w:tblCellMar>
      </w:tblPr>
      <w:tblGrid>
        <w:gridCol w:w="417"/>
        <w:gridCol w:w="368"/>
        <w:gridCol w:w="370"/>
        <w:gridCol w:w="164"/>
        <w:gridCol w:w="164"/>
        <w:gridCol w:w="166"/>
        <w:gridCol w:w="691"/>
        <w:gridCol w:w="691"/>
        <w:gridCol w:w="691"/>
        <w:gridCol w:w="691"/>
        <w:gridCol w:w="691"/>
        <w:gridCol w:w="984"/>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8, 2026</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443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Bradford Luke Ledbetter</w:t>
            </w:r>
          </w:p>
        </w:tc>
      </w:tr>
      <w:tr>
        <w:trPr/>
        <w:tc>
          <w:tcPr>
            <w:tcW w:w="1155" w:type="dxa"/>
            <w:gridSpan w:val="3"/>
            <w:tcBorders>
              <w:top w:val="single" w:sz="32"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4" w:type="dxa"/>
            <w:gridSpan w:val="3"/>
            <w:tcBorders>
              <w:top w:val="single" w:sz="32"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Bradford Luke Ledbetter</w:t>
              <w:br/>
              <w:t>Chief Executive Officer (Principal Executive Officer)</w:t>
            </w:r>
          </w:p>
        </w:tc>
      </w:tr>
    </w:tbl>
    <w:p>
      <w:pPr>
        <w:pStyle w:val="TextBody"/>
        <w:bidi w:val="0"/>
        <w:spacing w:lineRule="auto" w:line="288" w:before="0" w:after="0"/>
        <w:ind w:left="0" w:right="0" w:firstLine="270"/>
        <w:jc w:val="left"/>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Section 906 of the Sarbanes-Oxley Act of 2002 (subsections (a) and (b) of Section 1350, chapter 63 of title 18, United States Code) and is not being filed as part of the Report.</w:t>
      </w:r>
    </w:p>
    <w:p>
      <w:pPr>
        <w:pStyle w:val="TextBody"/>
        <w:bidi w:val="0"/>
        <w:spacing w:lineRule="auto" w:line="288" w:before="0" w:after="0"/>
        <w:ind w:left="0" w:right="0" w:firstLine="270"/>
        <w:jc w:val="left"/>
        <w:rPr>
          <w:color w:val="000000"/>
        </w:rPr>
      </w:pPr>
      <w:r>
        <w:rPr>
          <w:color w:val="000000"/>
        </w:rPr>
        <w:t> </w:t>
      </w:r>
    </w:p>
    <w:p>
      <w:pPr>
        <w:pStyle w:val="TextBody"/>
        <w:bidi w:val="0"/>
        <w:spacing w:before="0" w:after="0"/>
        <w:ind w:left="0" w:right="0" w:firstLine="270"/>
        <w:jc w:val="left"/>
        <w:rPr/>
      </w:pPr>
      <w:r>
        <w:rPr/>
      </w:r>
    </w:p>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both"/>
        <w:rPr>
          <w:color w:val="000000"/>
        </w:rPr>
      </w:pPr>
      <w:r>
        <w:rPr>
          <w:color w:val="000000"/>
        </w:rPr>
        <w:t> </w:t>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chapter 63 of title 18, United States Code), the undersigned officer of Kestrel Group Ltd (the “Company”), hereby certifies, to such officer's knowledge, that:</w:t>
      </w:r>
    </w:p>
    <w:p>
      <w:pPr>
        <w:pStyle w:val="TextBody"/>
        <w:bidi w:val="0"/>
        <w:spacing w:lineRule="auto" w:line="288" w:before="0" w:after="0"/>
        <w:jc w:val="both"/>
        <w:rPr>
          <w:color w:val="000000"/>
        </w:rPr>
      </w:pPr>
      <w:r>
        <w:rPr>
          <w:color w:val="000000"/>
        </w:rPr>
        <w:t> </w:t>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Company's Quarterly Report on Form 10-Q for the quarter ended March 31, 2026 (the “Report”) fully complies with the requirements of Section 13(a) or 15(d) of the Securities Exchange Act of 1934 and the information contained in the Report fairly presents, in all material respects, the financial condition and results of operations of the Company.</w:t>
      </w:r>
    </w:p>
    <w:p>
      <w:pPr>
        <w:pStyle w:val="TextBody"/>
        <w:bidi w:val="0"/>
        <w:spacing w:lineRule="auto" w:line="240" w:before="0" w:after="0"/>
        <w:ind w:left="0" w:right="0" w:firstLine="270"/>
        <w:jc w:val="both"/>
        <w:rPr>
          <w:color w:val="000000"/>
        </w:rPr>
      </w:pPr>
      <w:r>
        <w:rPr>
          <w:color w:val="000000"/>
        </w:rPr>
        <w:t> </w:t>
      </w:r>
    </w:p>
    <w:tbl>
      <w:tblPr>
        <w:tblW w:w="7436" w:type="dxa"/>
        <w:jc w:val="left"/>
        <w:tblInd w:w="0" w:type="dxa"/>
        <w:tblLayout w:type="fixed"/>
        <w:tblCellMar>
          <w:top w:w="28" w:type="dxa"/>
          <w:left w:w="28" w:type="dxa"/>
          <w:bottom w:w="28" w:type="dxa"/>
          <w:right w:w="28" w:type="dxa"/>
        </w:tblCellMar>
      </w:tblPr>
      <w:tblGrid>
        <w:gridCol w:w="417"/>
        <w:gridCol w:w="368"/>
        <w:gridCol w:w="370"/>
        <w:gridCol w:w="164"/>
        <w:gridCol w:w="164"/>
        <w:gridCol w:w="166"/>
        <w:gridCol w:w="1803"/>
        <w:gridCol w:w="1803"/>
        <w:gridCol w:w="1809"/>
        <w:gridCol w:w="109"/>
        <w:gridCol w:w="109"/>
        <w:gridCol w:w="154"/>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8, 2026</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Patrick J. Haveron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55" w:type="dxa"/>
            <w:gridSpan w:val="3"/>
            <w:tcBorders>
              <w:top w:val="single" w:sz="32"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4" w:type="dxa"/>
            <w:gridSpan w:val="3"/>
            <w:tcBorders>
              <w:top w:val="single" w:sz="32"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Patrick J. Haveron</w:t>
              <w:br/>
              <w:t>President and Chief Financial Officer (Principal Financial Officer)</w:t>
            </w:r>
          </w:p>
        </w:tc>
        <w:tc>
          <w:tcPr>
            <w:tcW w:w="372" w:type="dxa"/>
            <w:gridSpan w:val="3"/>
            <w:tcBorders>
              <w:top w:val="single" w:sz="32"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ind w:left="0" w:right="0" w:firstLine="270"/>
        <w:jc w:val="both"/>
        <w:rPr>
          <w:color w:val="000000"/>
        </w:rPr>
      </w:pPr>
      <w:r>
        <w:rPr>
          <w:color w:val="000000"/>
        </w:rPr>
        <w:t> </w:t>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Section 906 of the Sarbanes-Oxley Act of 2002 (subsections (a) and (b) of Section 1350, chapter 63 of title 18, United States Code) and is not being filed as part of the Report.</w:t>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ptos">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47938</Words>
  <Characters>266055</Characters>
  <CharactersWithSpaces>311341</CharactersWithSpaces>
  <Paragraphs>4782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